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F24E" w14:textId="7B54E47C" w:rsidR="00DF2567" w:rsidRDefault="0A56E266" w:rsidP="78D4D2EA">
      <w:pPr>
        <w:pStyle w:val="H1"/>
        <w:jc w:val="center"/>
      </w:pPr>
      <w:r>
        <w:t>Planungs</w:t>
      </w:r>
      <w:r w:rsidR="78D4D2EA">
        <w:t>vertrag für Tragwerksplanung</w:t>
      </w:r>
      <w:r w:rsidR="11D62330">
        <w:t xml:space="preserve"> (§§ 49 ff. HOAI)</w:t>
      </w:r>
    </w:p>
    <w:p w14:paraId="48C41B56" w14:textId="463FCE58" w:rsidR="11D62330" w:rsidRDefault="11D62330" w:rsidP="78D4D2EA">
      <w:pPr>
        <w:jc w:val="center"/>
        <w:rPr>
          <w:rFonts w:eastAsia="Arial"/>
        </w:rPr>
      </w:pPr>
      <w:r w:rsidRPr="78D4D2EA">
        <w:rPr>
          <w:rFonts w:eastAsia="Arial"/>
          <w:b/>
          <w:bCs/>
          <w:color w:val="000000" w:themeColor="text1"/>
        </w:rPr>
        <w:t>Ersatzneubau der Brücke “Golzower Weg”</w:t>
      </w:r>
    </w:p>
    <w:p w14:paraId="1B2DD825" w14:textId="77777777" w:rsidR="00BA11BF" w:rsidRDefault="00BA11BF">
      <w:pPr>
        <w:pStyle w:val="H2"/>
      </w:pPr>
    </w:p>
    <w:tbl>
      <w:tblPr>
        <w:tblW w:w="9210" w:type="dxa"/>
        <w:tblLayout w:type="fixed"/>
        <w:tblLook w:val="04A0" w:firstRow="1" w:lastRow="0" w:firstColumn="1" w:lastColumn="0" w:noHBand="0" w:noVBand="1"/>
      </w:tblPr>
      <w:tblGrid>
        <w:gridCol w:w="1908"/>
        <w:gridCol w:w="7302"/>
      </w:tblGrid>
      <w:tr w:rsidR="0021623B" w:rsidRPr="001E7857" w14:paraId="0961CA2C" w14:textId="77777777" w:rsidTr="00D50F20">
        <w:tc>
          <w:tcPr>
            <w:tcW w:w="1908" w:type="dxa"/>
            <w:hideMark/>
          </w:tcPr>
          <w:p w14:paraId="080B3BF9"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r w:rsidRPr="001E7857">
              <w:rPr>
                <w:color w:val="auto"/>
                <w:sz w:val="16"/>
                <w:szCs w:val="16"/>
              </w:rPr>
              <w:t>Zwischen</w:t>
            </w:r>
          </w:p>
        </w:tc>
        <w:tc>
          <w:tcPr>
            <w:tcW w:w="7302" w:type="dxa"/>
            <w:tcBorders>
              <w:top w:val="nil"/>
              <w:left w:val="nil"/>
              <w:bottom w:val="dashed" w:sz="4" w:space="0" w:color="auto"/>
              <w:right w:val="nil"/>
            </w:tcBorders>
            <w:hideMark/>
          </w:tcPr>
          <w:p w14:paraId="32087448" w14:textId="77777777" w:rsidR="0021623B" w:rsidRPr="001E7857" w:rsidRDefault="0021623B" w:rsidP="00D50F20">
            <w:pPr>
              <w:pBdr>
                <w:top w:val="none" w:sz="0" w:space="0" w:color="auto"/>
                <w:left w:val="none" w:sz="0" w:space="0" w:color="auto"/>
                <w:bottom w:val="none" w:sz="0" w:space="0" w:color="auto"/>
                <w:right w:val="none" w:sz="0" w:space="0" w:color="auto"/>
              </w:pBdr>
              <w:tabs>
                <w:tab w:val="left" w:pos="1122"/>
              </w:tabs>
              <w:autoSpaceDE/>
              <w:adjustRightInd/>
              <w:spacing w:after="0" w:line="360" w:lineRule="auto"/>
              <w:jc w:val="both"/>
              <w:rPr>
                <w:color w:val="auto"/>
                <w:sz w:val="16"/>
                <w:szCs w:val="16"/>
              </w:rPr>
            </w:pPr>
            <w:r w:rsidRPr="43F4EBBC">
              <w:rPr>
                <w:color w:val="auto"/>
                <w:sz w:val="16"/>
                <w:szCs w:val="16"/>
              </w:rPr>
              <w:t xml:space="preserve">Gemeinde Chorin über Amt Britz-Chorin, Eisenwerkstraße 11, 16230 Britz </w:t>
            </w:r>
            <w:r>
              <w:br/>
            </w:r>
          </w:p>
        </w:tc>
      </w:tr>
      <w:tr w:rsidR="0021623B" w:rsidRPr="001E7857" w14:paraId="14277177" w14:textId="77777777" w:rsidTr="00D50F20">
        <w:tc>
          <w:tcPr>
            <w:tcW w:w="1908" w:type="dxa"/>
            <w:hideMark/>
          </w:tcPr>
          <w:p w14:paraId="0795AF90"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r w:rsidRPr="001E7857">
              <w:rPr>
                <w:color w:val="auto"/>
                <w:sz w:val="16"/>
                <w:szCs w:val="16"/>
              </w:rPr>
              <w:t>vertreten durch</w:t>
            </w:r>
          </w:p>
        </w:tc>
        <w:tc>
          <w:tcPr>
            <w:tcW w:w="7302" w:type="dxa"/>
            <w:tcBorders>
              <w:top w:val="dashed" w:sz="4" w:space="0" w:color="auto"/>
              <w:left w:val="nil"/>
              <w:bottom w:val="dashed" w:sz="4" w:space="0" w:color="auto"/>
              <w:right w:val="nil"/>
            </w:tcBorders>
            <w:hideMark/>
          </w:tcPr>
          <w:p w14:paraId="147CD5EC"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r>
      <w:tr w:rsidR="0021623B" w:rsidRPr="001E7857" w14:paraId="15B384A1" w14:textId="77777777" w:rsidTr="00D50F20">
        <w:tc>
          <w:tcPr>
            <w:tcW w:w="1908" w:type="dxa"/>
          </w:tcPr>
          <w:p w14:paraId="48389495"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c>
          <w:tcPr>
            <w:tcW w:w="7302" w:type="dxa"/>
            <w:tcBorders>
              <w:top w:val="dashed" w:sz="4" w:space="0" w:color="auto"/>
              <w:left w:val="nil"/>
              <w:bottom w:val="nil"/>
              <w:right w:val="nil"/>
            </w:tcBorders>
          </w:tcPr>
          <w:p w14:paraId="3DA8F45E"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r>
      <w:tr w:rsidR="0021623B" w:rsidRPr="001E7857" w14:paraId="0075BBF0" w14:textId="77777777" w:rsidTr="00D50F20">
        <w:tc>
          <w:tcPr>
            <w:tcW w:w="9210" w:type="dxa"/>
            <w:gridSpan w:val="2"/>
            <w:hideMark/>
          </w:tcPr>
          <w:p w14:paraId="22F3DD19" w14:textId="2CE40C7D"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r w:rsidRPr="001E7857">
              <w:rPr>
                <w:color w:val="auto"/>
                <w:sz w:val="16"/>
                <w:szCs w:val="16"/>
              </w:rPr>
              <w:t>- nachstehend Auftraggeber</w:t>
            </w:r>
            <w:r>
              <w:rPr>
                <w:color w:val="auto"/>
                <w:sz w:val="16"/>
                <w:szCs w:val="16"/>
              </w:rPr>
              <w:t>in</w:t>
            </w:r>
            <w:r w:rsidR="005D1C27">
              <w:rPr>
                <w:color w:val="auto"/>
                <w:sz w:val="16"/>
                <w:szCs w:val="16"/>
              </w:rPr>
              <w:t xml:space="preserve"> oder AG</w:t>
            </w:r>
            <w:r w:rsidRPr="001E7857">
              <w:rPr>
                <w:color w:val="auto"/>
                <w:sz w:val="16"/>
                <w:szCs w:val="16"/>
              </w:rPr>
              <w:t xml:space="preserve"> genannt -</w:t>
            </w:r>
          </w:p>
        </w:tc>
      </w:tr>
      <w:tr w:rsidR="0021623B" w:rsidRPr="001E7857" w14:paraId="2E5C39DF" w14:textId="77777777" w:rsidTr="00D50F20">
        <w:tc>
          <w:tcPr>
            <w:tcW w:w="1908" w:type="dxa"/>
          </w:tcPr>
          <w:p w14:paraId="3FB78DFA"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c>
          <w:tcPr>
            <w:tcW w:w="7302" w:type="dxa"/>
          </w:tcPr>
          <w:p w14:paraId="7FCE749A"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r>
      <w:tr w:rsidR="0021623B" w:rsidRPr="001E7857" w14:paraId="01920CCB" w14:textId="77777777" w:rsidTr="00D50F20">
        <w:tc>
          <w:tcPr>
            <w:tcW w:w="1908" w:type="dxa"/>
            <w:hideMark/>
          </w:tcPr>
          <w:p w14:paraId="2324F8A7"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r w:rsidRPr="001E7857">
              <w:rPr>
                <w:color w:val="auto"/>
                <w:sz w:val="16"/>
                <w:szCs w:val="16"/>
              </w:rPr>
              <w:t>und</w:t>
            </w:r>
          </w:p>
        </w:tc>
        <w:tc>
          <w:tcPr>
            <w:tcW w:w="7302" w:type="dxa"/>
          </w:tcPr>
          <w:p w14:paraId="5C63F3EF"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r>
      <w:tr w:rsidR="0021623B" w:rsidRPr="001E7857" w14:paraId="603D89C5" w14:textId="77777777" w:rsidTr="00D50F20">
        <w:tc>
          <w:tcPr>
            <w:tcW w:w="9210" w:type="dxa"/>
            <w:gridSpan w:val="2"/>
            <w:tcBorders>
              <w:top w:val="nil"/>
              <w:left w:val="nil"/>
              <w:bottom w:val="dashed" w:sz="4" w:space="0" w:color="auto"/>
              <w:right w:val="nil"/>
            </w:tcBorders>
            <w:hideMark/>
          </w:tcPr>
          <w:p w14:paraId="5B01699D"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r w:rsidRPr="001E7857">
              <w:rPr>
                <w:color w:val="auto"/>
                <w:sz w:val="16"/>
                <w:szCs w:val="16"/>
                <w:highlight w:val="lightGray"/>
              </w:rPr>
              <w:fldChar w:fldCharType="begin">
                <w:ffData>
                  <w:name w:val="Text7"/>
                  <w:enabled/>
                  <w:calcOnExit w:val="0"/>
                  <w:textInput/>
                </w:ffData>
              </w:fldChar>
            </w:r>
            <w:bookmarkStart w:id="0" w:name="Text7"/>
            <w:r w:rsidRPr="001E7857">
              <w:rPr>
                <w:color w:val="auto"/>
                <w:sz w:val="16"/>
                <w:szCs w:val="16"/>
                <w:highlight w:val="lightGray"/>
              </w:rPr>
              <w:instrText xml:space="preserve"> FORMTEXT </w:instrText>
            </w:r>
            <w:r w:rsidRPr="001E7857">
              <w:rPr>
                <w:color w:val="auto"/>
                <w:sz w:val="16"/>
                <w:szCs w:val="16"/>
                <w:highlight w:val="lightGray"/>
              </w:rPr>
            </w:r>
            <w:r w:rsidRPr="001E7857">
              <w:rPr>
                <w:color w:val="auto"/>
                <w:sz w:val="16"/>
                <w:szCs w:val="16"/>
                <w:highlight w:val="lightGray"/>
              </w:rPr>
              <w:fldChar w:fldCharType="separate"/>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fldChar w:fldCharType="end"/>
            </w:r>
            <w:bookmarkEnd w:id="0"/>
          </w:p>
        </w:tc>
      </w:tr>
      <w:tr w:rsidR="0021623B" w:rsidRPr="001E7857" w14:paraId="7C1E5846" w14:textId="77777777" w:rsidTr="00D50F20">
        <w:tc>
          <w:tcPr>
            <w:tcW w:w="9210" w:type="dxa"/>
            <w:gridSpan w:val="2"/>
            <w:tcBorders>
              <w:top w:val="dashed" w:sz="4" w:space="0" w:color="auto"/>
              <w:left w:val="nil"/>
              <w:bottom w:val="dashed" w:sz="4" w:space="0" w:color="auto"/>
              <w:right w:val="nil"/>
            </w:tcBorders>
            <w:hideMark/>
          </w:tcPr>
          <w:p w14:paraId="33DB38C9" w14:textId="14FF487C"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r w:rsidRPr="001E7857">
              <w:rPr>
                <w:color w:val="auto"/>
                <w:sz w:val="16"/>
                <w:szCs w:val="16"/>
                <w:highlight w:val="lightGray"/>
              </w:rPr>
              <w:fldChar w:fldCharType="begin">
                <w:ffData>
                  <w:name w:val="Text4"/>
                  <w:enabled/>
                  <w:calcOnExit w:val="0"/>
                  <w:textInput/>
                </w:ffData>
              </w:fldChar>
            </w:r>
            <w:r w:rsidRPr="001E7857">
              <w:rPr>
                <w:color w:val="auto"/>
                <w:sz w:val="16"/>
                <w:szCs w:val="16"/>
                <w:highlight w:val="lightGray"/>
              </w:rPr>
              <w:instrText xml:space="preserve"> FORMTEXT </w:instrText>
            </w:r>
            <w:r w:rsidRPr="001E7857">
              <w:rPr>
                <w:color w:val="auto"/>
                <w:sz w:val="16"/>
                <w:szCs w:val="16"/>
                <w:highlight w:val="lightGray"/>
              </w:rPr>
            </w:r>
            <w:r w:rsidRPr="001E7857">
              <w:rPr>
                <w:color w:val="auto"/>
                <w:sz w:val="16"/>
                <w:szCs w:val="16"/>
                <w:highlight w:val="lightGray"/>
              </w:rPr>
              <w:fldChar w:fldCharType="separate"/>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color w:val="auto"/>
                <w:sz w:val="16"/>
                <w:szCs w:val="16"/>
                <w:highlight w:val="lightGray"/>
              </w:rPr>
              <w:fldChar w:fldCharType="end"/>
            </w:r>
            <w:r w:rsidRPr="001E7857">
              <w:rPr>
                <w:color w:val="auto"/>
                <w:sz w:val="16"/>
                <w:szCs w:val="16"/>
                <w:highlight w:val="lightGray"/>
              </w:rPr>
              <w:t xml:space="preserve"> (Straße)   </w:t>
            </w:r>
            <w:r w:rsidRPr="001E7857">
              <w:rPr>
                <w:color w:val="auto"/>
                <w:sz w:val="16"/>
                <w:szCs w:val="16"/>
                <w:highlight w:val="lightGray"/>
              </w:rPr>
              <w:fldChar w:fldCharType="begin">
                <w:ffData>
                  <w:name w:val="Text5"/>
                  <w:enabled/>
                  <w:calcOnExit w:val="0"/>
                  <w:textInput/>
                </w:ffData>
              </w:fldChar>
            </w:r>
            <w:r w:rsidRPr="001E7857">
              <w:rPr>
                <w:color w:val="auto"/>
                <w:sz w:val="16"/>
                <w:szCs w:val="16"/>
                <w:highlight w:val="lightGray"/>
              </w:rPr>
              <w:instrText xml:space="preserve"> FORMTEXT </w:instrText>
            </w:r>
            <w:r w:rsidRPr="001E7857">
              <w:rPr>
                <w:color w:val="auto"/>
                <w:sz w:val="16"/>
                <w:szCs w:val="16"/>
                <w:highlight w:val="lightGray"/>
              </w:rPr>
            </w:r>
            <w:r w:rsidRPr="001E7857">
              <w:rPr>
                <w:color w:val="auto"/>
                <w:sz w:val="16"/>
                <w:szCs w:val="16"/>
                <w:highlight w:val="lightGray"/>
              </w:rPr>
              <w:fldChar w:fldCharType="separate"/>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color w:val="auto"/>
                <w:sz w:val="16"/>
                <w:szCs w:val="16"/>
                <w:highlight w:val="lightGray"/>
              </w:rPr>
              <w:fldChar w:fldCharType="end"/>
            </w:r>
            <w:r w:rsidRPr="001E7857">
              <w:rPr>
                <w:color w:val="auto"/>
                <w:sz w:val="16"/>
                <w:szCs w:val="16"/>
                <w:highlight w:val="lightGray"/>
              </w:rPr>
              <w:t>(Ort)</w:t>
            </w:r>
          </w:p>
        </w:tc>
      </w:tr>
      <w:tr w:rsidR="0021623B" w:rsidRPr="001E7857" w14:paraId="70B368DB" w14:textId="77777777" w:rsidTr="00D50F20">
        <w:tc>
          <w:tcPr>
            <w:tcW w:w="9210" w:type="dxa"/>
            <w:gridSpan w:val="2"/>
            <w:tcBorders>
              <w:top w:val="dashed" w:sz="4" w:space="0" w:color="auto"/>
              <w:left w:val="nil"/>
              <w:bottom w:val="nil"/>
              <w:right w:val="nil"/>
            </w:tcBorders>
          </w:tcPr>
          <w:p w14:paraId="332D6CCB"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p>
        </w:tc>
      </w:tr>
      <w:tr w:rsidR="0021623B" w:rsidRPr="001E7857" w14:paraId="5D2E909E" w14:textId="77777777" w:rsidTr="00D50F20">
        <w:tc>
          <w:tcPr>
            <w:tcW w:w="1908" w:type="dxa"/>
            <w:hideMark/>
          </w:tcPr>
          <w:p w14:paraId="2DCA93D8"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r w:rsidRPr="001E7857">
              <w:rPr>
                <w:color w:val="auto"/>
                <w:sz w:val="16"/>
                <w:szCs w:val="16"/>
              </w:rPr>
              <w:t>vertreten durch</w:t>
            </w:r>
          </w:p>
        </w:tc>
        <w:tc>
          <w:tcPr>
            <w:tcW w:w="7302" w:type="dxa"/>
          </w:tcPr>
          <w:p w14:paraId="4F9689BA"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p>
        </w:tc>
      </w:tr>
      <w:tr w:rsidR="0021623B" w:rsidRPr="001E7857" w14:paraId="5CD6D5BF" w14:textId="77777777" w:rsidTr="00D50F20">
        <w:tc>
          <w:tcPr>
            <w:tcW w:w="9210" w:type="dxa"/>
            <w:gridSpan w:val="2"/>
            <w:tcBorders>
              <w:top w:val="nil"/>
              <w:left w:val="nil"/>
              <w:bottom w:val="dashed" w:sz="4" w:space="0" w:color="auto"/>
              <w:right w:val="nil"/>
            </w:tcBorders>
            <w:hideMark/>
          </w:tcPr>
          <w:p w14:paraId="5E6ED463"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r w:rsidRPr="001E7857">
              <w:rPr>
                <w:color w:val="auto"/>
                <w:sz w:val="16"/>
                <w:szCs w:val="16"/>
                <w:highlight w:val="lightGray"/>
              </w:rPr>
              <w:fldChar w:fldCharType="begin">
                <w:ffData>
                  <w:name w:val="Text9"/>
                  <w:enabled/>
                  <w:calcOnExit w:val="0"/>
                  <w:textInput/>
                </w:ffData>
              </w:fldChar>
            </w:r>
            <w:bookmarkStart w:id="1" w:name="Text9"/>
            <w:r w:rsidRPr="001E7857">
              <w:rPr>
                <w:color w:val="auto"/>
                <w:sz w:val="16"/>
                <w:szCs w:val="16"/>
                <w:highlight w:val="lightGray"/>
              </w:rPr>
              <w:instrText xml:space="preserve"> FORMTEXT </w:instrText>
            </w:r>
            <w:r w:rsidRPr="001E7857">
              <w:rPr>
                <w:color w:val="auto"/>
                <w:sz w:val="16"/>
                <w:szCs w:val="16"/>
                <w:highlight w:val="lightGray"/>
              </w:rPr>
            </w:r>
            <w:r w:rsidRPr="001E7857">
              <w:rPr>
                <w:color w:val="auto"/>
                <w:sz w:val="16"/>
                <w:szCs w:val="16"/>
                <w:highlight w:val="lightGray"/>
              </w:rPr>
              <w:fldChar w:fldCharType="separate"/>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fldChar w:fldCharType="end"/>
            </w:r>
            <w:bookmarkEnd w:id="1"/>
          </w:p>
        </w:tc>
      </w:tr>
      <w:tr w:rsidR="0021623B" w:rsidRPr="001E7857" w14:paraId="0C723017" w14:textId="77777777" w:rsidTr="00D50F20">
        <w:tc>
          <w:tcPr>
            <w:tcW w:w="9210" w:type="dxa"/>
            <w:gridSpan w:val="2"/>
            <w:tcBorders>
              <w:top w:val="dashed" w:sz="4" w:space="0" w:color="auto"/>
              <w:left w:val="nil"/>
              <w:bottom w:val="dashed" w:sz="4" w:space="0" w:color="auto"/>
              <w:right w:val="nil"/>
            </w:tcBorders>
            <w:hideMark/>
          </w:tcPr>
          <w:p w14:paraId="38D2DCED"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highlight w:val="cyan"/>
              </w:rPr>
            </w:pPr>
            <w:r w:rsidRPr="001E7857">
              <w:rPr>
                <w:color w:val="auto"/>
                <w:sz w:val="16"/>
                <w:szCs w:val="16"/>
                <w:highlight w:val="lightGray"/>
              </w:rPr>
              <w:fldChar w:fldCharType="begin">
                <w:ffData>
                  <w:name w:val="Text10"/>
                  <w:enabled/>
                  <w:calcOnExit w:val="0"/>
                  <w:textInput/>
                </w:ffData>
              </w:fldChar>
            </w:r>
            <w:bookmarkStart w:id="2" w:name="Text10"/>
            <w:r w:rsidRPr="001E7857">
              <w:rPr>
                <w:color w:val="auto"/>
                <w:sz w:val="16"/>
                <w:szCs w:val="16"/>
                <w:highlight w:val="lightGray"/>
              </w:rPr>
              <w:instrText xml:space="preserve"> FORMTEXT </w:instrText>
            </w:r>
            <w:r w:rsidRPr="001E7857">
              <w:rPr>
                <w:color w:val="auto"/>
                <w:sz w:val="16"/>
                <w:szCs w:val="16"/>
                <w:highlight w:val="lightGray"/>
              </w:rPr>
            </w:r>
            <w:r w:rsidRPr="001E7857">
              <w:rPr>
                <w:color w:val="auto"/>
                <w:sz w:val="16"/>
                <w:szCs w:val="16"/>
                <w:highlight w:val="lightGray"/>
              </w:rPr>
              <w:fldChar w:fldCharType="separate"/>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rPr>
                <w:noProof/>
                <w:color w:val="auto"/>
                <w:sz w:val="16"/>
                <w:szCs w:val="16"/>
                <w:highlight w:val="lightGray"/>
              </w:rPr>
              <w:t> </w:t>
            </w:r>
            <w:r w:rsidRPr="001E7857">
              <w:fldChar w:fldCharType="end"/>
            </w:r>
            <w:bookmarkEnd w:id="2"/>
          </w:p>
        </w:tc>
      </w:tr>
      <w:tr w:rsidR="0021623B" w:rsidRPr="001E7857" w14:paraId="1D241756" w14:textId="77777777" w:rsidTr="00D50F20">
        <w:tc>
          <w:tcPr>
            <w:tcW w:w="1908" w:type="dxa"/>
            <w:tcBorders>
              <w:top w:val="dashed" w:sz="4" w:space="0" w:color="auto"/>
              <w:left w:val="nil"/>
              <w:bottom w:val="nil"/>
              <w:right w:val="nil"/>
            </w:tcBorders>
          </w:tcPr>
          <w:p w14:paraId="13AB9A7B"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c>
          <w:tcPr>
            <w:tcW w:w="7302" w:type="dxa"/>
            <w:tcBorders>
              <w:top w:val="dashed" w:sz="4" w:space="0" w:color="auto"/>
              <w:left w:val="nil"/>
              <w:bottom w:val="nil"/>
              <w:right w:val="nil"/>
            </w:tcBorders>
          </w:tcPr>
          <w:p w14:paraId="39521609"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r>
      <w:tr w:rsidR="0021623B" w:rsidRPr="001E7857" w14:paraId="70C67D78" w14:textId="77777777" w:rsidTr="00D50F20">
        <w:tc>
          <w:tcPr>
            <w:tcW w:w="9210" w:type="dxa"/>
            <w:gridSpan w:val="2"/>
            <w:hideMark/>
          </w:tcPr>
          <w:p w14:paraId="0C9FFD56" w14:textId="2EFC62B9"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r w:rsidRPr="001E7857">
              <w:rPr>
                <w:color w:val="auto"/>
                <w:sz w:val="16"/>
                <w:szCs w:val="16"/>
              </w:rPr>
              <w:t>- nachstehend Auftragnehmer</w:t>
            </w:r>
            <w:r w:rsidR="005D1C27">
              <w:rPr>
                <w:color w:val="auto"/>
                <w:sz w:val="16"/>
                <w:szCs w:val="16"/>
              </w:rPr>
              <w:t xml:space="preserve"> oder AN</w:t>
            </w:r>
            <w:r w:rsidRPr="001E7857">
              <w:rPr>
                <w:color w:val="auto"/>
                <w:sz w:val="16"/>
                <w:szCs w:val="16"/>
              </w:rPr>
              <w:t xml:space="preserve"> genannt -</w:t>
            </w:r>
          </w:p>
        </w:tc>
      </w:tr>
      <w:tr w:rsidR="0021623B" w:rsidRPr="001E7857" w14:paraId="1F8C141D" w14:textId="77777777" w:rsidTr="00D50F20">
        <w:tc>
          <w:tcPr>
            <w:tcW w:w="1908" w:type="dxa"/>
          </w:tcPr>
          <w:p w14:paraId="09C84B66"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c>
          <w:tcPr>
            <w:tcW w:w="7302" w:type="dxa"/>
          </w:tcPr>
          <w:p w14:paraId="6401439F"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tc>
      </w:tr>
      <w:tr w:rsidR="0021623B" w:rsidRPr="001E7857" w14:paraId="15FF7B28" w14:textId="77777777" w:rsidTr="00D50F20">
        <w:tc>
          <w:tcPr>
            <w:tcW w:w="9210" w:type="dxa"/>
            <w:gridSpan w:val="2"/>
            <w:hideMark/>
          </w:tcPr>
          <w:p w14:paraId="5BEC5ED8"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rPr>
            </w:pPr>
            <w:r w:rsidRPr="001E7857">
              <w:rPr>
                <w:color w:val="auto"/>
              </w:rPr>
              <w:t>wird für die Baumaßnahme:</w:t>
            </w:r>
          </w:p>
        </w:tc>
      </w:tr>
      <w:tr w:rsidR="0021623B" w:rsidRPr="001E7857" w14:paraId="63CC2BCE" w14:textId="77777777" w:rsidTr="00D50F20">
        <w:tc>
          <w:tcPr>
            <w:tcW w:w="9210" w:type="dxa"/>
            <w:gridSpan w:val="2"/>
            <w:tcBorders>
              <w:top w:val="nil"/>
              <w:left w:val="nil"/>
              <w:bottom w:val="dashed" w:sz="4" w:space="0" w:color="auto"/>
              <w:right w:val="nil"/>
            </w:tcBorders>
            <w:hideMark/>
          </w:tcPr>
          <w:p w14:paraId="05247C96"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r w:rsidRPr="0051578C">
              <w:t>Ersatzneubau der Brücke “Golzower Weg”</w:t>
            </w:r>
          </w:p>
        </w:tc>
      </w:tr>
      <w:tr w:rsidR="0021623B" w:rsidRPr="001E7857" w14:paraId="4E84E71F" w14:textId="77777777" w:rsidTr="00D50F20">
        <w:trPr>
          <w:trHeight w:val="300"/>
        </w:trPr>
        <w:tc>
          <w:tcPr>
            <w:tcW w:w="9210" w:type="dxa"/>
            <w:gridSpan w:val="2"/>
            <w:tcBorders>
              <w:top w:val="dashed" w:sz="4" w:space="0" w:color="auto"/>
              <w:left w:val="nil"/>
              <w:bottom w:val="nil"/>
              <w:right w:val="nil"/>
            </w:tcBorders>
          </w:tcPr>
          <w:p w14:paraId="2AB96936"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sz w:val="16"/>
                <w:szCs w:val="16"/>
              </w:rPr>
            </w:pPr>
          </w:p>
          <w:p w14:paraId="2605FB42" w14:textId="77777777" w:rsidR="0021623B" w:rsidRPr="001E7857" w:rsidRDefault="0021623B" w:rsidP="00D50F20">
            <w:pPr>
              <w:pBdr>
                <w:top w:val="none" w:sz="0" w:space="0" w:color="auto"/>
                <w:left w:val="none" w:sz="0" w:space="0" w:color="auto"/>
                <w:bottom w:val="none" w:sz="0" w:space="0" w:color="auto"/>
                <w:right w:val="none" w:sz="0" w:space="0" w:color="auto"/>
              </w:pBdr>
              <w:autoSpaceDE/>
              <w:adjustRightInd/>
              <w:spacing w:after="0" w:line="360" w:lineRule="auto"/>
              <w:jc w:val="both"/>
              <w:rPr>
                <w:color w:val="auto"/>
              </w:rPr>
            </w:pPr>
            <w:r w:rsidRPr="001E7857">
              <w:rPr>
                <w:color w:val="auto"/>
              </w:rPr>
              <w:t>folgender Vertrag geschlossen:</w:t>
            </w:r>
          </w:p>
        </w:tc>
      </w:tr>
    </w:tbl>
    <w:p w14:paraId="49915626" w14:textId="77777777" w:rsidR="00075444" w:rsidRDefault="00075444">
      <w:pPr>
        <w:pStyle w:val="H2"/>
      </w:pPr>
    </w:p>
    <w:p w14:paraId="1692BE43" w14:textId="208C832F" w:rsidR="00DF2567" w:rsidRDefault="005D33E8">
      <w:pPr>
        <w:pStyle w:val="H2"/>
      </w:pPr>
      <w:r>
        <w:t>§ 1 Vertragsgegenstand</w:t>
      </w:r>
    </w:p>
    <w:p w14:paraId="7DD13E1F" w14:textId="4B830EBC" w:rsidR="00DF2567" w:rsidRDefault="46693B30" w:rsidP="78D4D2EA">
      <w:r>
        <w:t xml:space="preserve">(1) </w:t>
      </w:r>
      <w:r w:rsidR="78D4D2EA">
        <w:t xml:space="preserve">Gegenstand dieses Vertrags sind </w:t>
      </w:r>
      <w:r w:rsidR="06AB2BBD">
        <w:t>sind die Leistungen des Leistungsbildes</w:t>
      </w:r>
      <w:r w:rsidR="78D4D2EA">
        <w:t xml:space="preserve"> Tragwerksplanung </w:t>
      </w:r>
      <w:r w:rsidR="3E097B68">
        <w:t>(</w:t>
      </w:r>
      <w:r w:rsidR="78D4D2EA">
        <w:t>§ 49 ff. HOAI</w:t>
      </w:r>
      <w:r w:rsidR="3514BC7F">
        <w:t>)</w:t>
      </w:r>
    </w:p>
    <w:p w14:paraId="050EFDA5" w14:textId="7721DB24" w:rsidR="00DF2567" w:rsidRDefault="0611D5AE" w:rsidP="3C027AF9">
      <w:pPr>
        <w:jc w:val="both"/>
        <w:rPr>
          <w:rFonts w:eastAsia="Arial"/>
          <w:color w:val="000000" w:themeColor="text1"/>
        </w:rPr>
      </w:pPr>
      <w:r w:rsidRPr="3C027AF9">
        <w:rPr>
          <w:rFonts w:eastAsia="Arial"/>
          <w:color w:val="000000" w:themeColor="text1"/>
        </w:rPr>
        <w:t>(2) Die vorstehend genannten Leistungen sind für folgendes Bauvorhaben zu erbringen: Ersatzneubau der Brücke “Golzower Weg”</w:t>
      </w:r>
    </w:p>
    <w:p w14:paraId="452B5403" w14:textId="7788B0CF" w:rsidR="00DF2567" w:rsidRDefault="3024B241" w:rsidP="78D4D2EA">
      <w:pPr>
        <w:jc w:val="both"/>
        <w:rPr>
          <w:rFonts w:eastAsia="Arial"/>
          <w:color w:val="000000" w:themeColor="text1"/>
        </w:rPr>
      </w:pPr>
      <w:r w:rsidRPr="3C027AF9">
        <w:rPr>
          <w:rFonts w:eastAsia="Arial"/>
          <w:color w:val="000000" w:themeColor="text1"/>
        </w:rPr>
        <w:t>(3) Die Zielvorstellungen der Auftraggeberin zum Zeitpunkt des Vertragsschlusses werden – im Sinne einer werkvertraglichen Beschaffenheitsvereinbarung – wie folgt definiert:</w:t>
      </w:r>
    </w:p>
    <w:p w14:paraId="4F17EAEC" w14:textId="601A8964" w:rsidR="00DF2567" w:rsidRDefault="3024B241" w:rsidP="3C027AF9">
      <w:pPr>
        <w:pStyle w:val="Listenabsatz"/>
        <w:numPr>
          <w:ilvl w:val="0"/>
          <w:numId w:val="2"/>
        </w:numPr>
        <w:pBdr>
          <w:top w:val="nil"/>
          <w:left w:val="nil"/>
          <w:bottom w:val="nil"/>
          <w:right w:val="nil"/>
        </w:pBdr>
        <w:spacing w:before="120" w:after="120" w:line="240" w:lineRule="auto"/>
        <w:jc w:val="both"/>
        <w:rPr>
          <w:rFonts w:ascii="Arial" w:eastAsia="Arial" w:hAnsi="Arial" w:cs="Arial"/>
          <w:color w:val="000000" w:themeColor="text1"/>
          <w:sz w:val="20"/>
          <w:szCs w:val="20"/>
        </w:rPr>
      </w:pPr>
      <w:r w:rsidRPr="3C027AF9">
        <w:rPr>
          <w:rFonts w:ascii="Arial" w:eastAsia="Arial" w:hAnsi="Arial" w:cs="Arial"/>
          <w:color w:val="000000" w:themeColor="text1"/>
          <w:sz w:val="20"/>
          <w:szCs w:val="20"/>
        </w:rPr>
        <w:t>Vergrößerung der Brückenbreite zur Herstellung eines regelkonformen Querschnitts der Straßenanlage</w:t>
      </w:r>
    </w:p>
    <w:p w14:paraId="71FB103F" w14:textId="2B02BBB9" w:rsidR="00DF2567" w:rsidRDefault="3024B241" w:rsidP="3C027AF9">
      <w:pPr>
        <w:pStyle w:val="Listenabsatz"/>
        <w:numPr>
          <w:ilvl w:val="0"/>
          <w:numId w:val="2"/>
        </w:numPr>
        <w:pBdr>
          <w:top w:val="nil"/>
          <w:left w:val="nil"/>
          <w:bottom w:val="nil"/>
          <w:right w:val="nil"/>
        </w:pBdr>
        <w:spacing w:before="120" w:after="120" w:line="240" w:lineRule="auto"/>
        <w:jc w:val="both"/>
        <w:rPr>
          <w:rFonts w:ascii="Arial" w:eastAsia="Arial" w:hAnsi="Arial" w:cs="Arial"/>
          <w:color w:val="000000" w:themeColor="text1"/>
          <w:sz w:val="20"/>
          <w:szCs w:val="20"/>
        </w:rPr>
      </w:pPr>
      <w:r w:rsidRPr="3C027AF9">
        <w:rPr>
          <w:rFonts w:ascii="Arial" w:eastAsia="Arial" w:hAnsi="Arial" w:cs="Arial"/>
          <w:color w:val="000000" w:themeColor="text1"/>
          <w:sz w:val="20"/>
          <w:szCs w:val="20"/>
        </w:rPr>
        <w:t>Erhöhung der Tragfähigkeit</w:t>
      </w:r>
    </w:p>
    <w:p w14:paraId="30BB722C" w14:textId="78CFDBAA" w:rsidR="72D08361" w:rsidRDefault="72D08361" w:rsidP="3C027AF9">
      <w:pPr>
        <w:pStyle w:val="Listenabsatz"/>
        <w:numPr>
          <w:ilvl w:val="0"/>
          <w:numId w:val="2"/>
        </w:numPr>
        <w:pBdr>
          <w:top w:val="nil"/>
          <w:left w:val="nil"/>
          <w:bottom w:val="nil"/>
          <w:right w:val="nil"/>
        </w:pBdr>
        <w:spacing w:before="120" w:after="120" w:line="240" w:lineRule="auto"/>
        <w:jc w:val="both"/>
        <w:rPr>
          <w:rFonts w:ascii="Arial" w:eastAsia="Arial" w:hAnsi="Arial" w:cs="Arial"/>
          <w:color w:val="000000" w:themeColor="text1"/>
          <w:sz w:val="20"/>
          <w:szCs w:val="20"/>
        </w:rPr>
      </w:pPr>
      <w:r w:rsidRPr="3C027AF9">
        <w:rPr>
          <w:rFonts w:ascii="Arial" w:eastAsia="Arial" w:hAnsi="Arial" w:cs="Arial"/>
          <w:color w:val="000000" w:themeColor="text1"/>
          <w:sz w:val="20"/>
          <w:szCs w:val="20"/>
        </w:rPr>
        <w:t xml:space="preserve">Beibehaltung der bisherigen Verkehrsführung  </w:t>
      </w:r>
    </w:p>
    <w:p w14:paraId="3B92150B" w14:textId="65EA28B2" w:rsidR="00DF2567" w:rsidRDefault="3024B241" w:rsidP="3C027AF9">
      <w:pPr>
        <w:pStyle w:val="Listenabsatz"/>
        <w:numPr>
          <w:ilvl w:val="0"/>
          <w:numId w:val="2"/>
        </w:numPr>
        <w:pBdr>
          <w:top w:val="nil"/>
          <w:left w:val="nil"/>
          <w:bottom w:val="nil"/>
          <w:right w:val="nil"/>
        </w:pBdr>
        <w:spacing w:before="120" w:after="120" w:line="240" w:lineRule="auto"/>
        <w:jc w:val="both"/>
        <w:rPr>
          <w:rFonts w:ascii="Arial" w:eastAsia="Arial" w:hAnsi="Arial" w:cs="Arial"/>
          <w:color w:val="000000" w:themeColor="text1"/>
          <w:sz w:val="20"/>
          <w:szCs w:val="20"/>
        </w:rPr>
      </w:pPr>
      <w:r w:rsidRPr="3C027AF9">
        <w:rPr>
          <w:rFonts w:ascii="Arial" w:eastAsia="Arial" w:hAnsi="Arial" w:cs="Arial"/>
          <w:color w:val="000000" w:themeColor="text1"/>
          <w:sz w:val="20"/>
          <w:szCs w:val="20"/>
        </w:rPr>
        <w:lastRenderedPageBreak/>
        <w:t>Anprallsicherheit nach DIN EN 1991-1-7 (Eurocode 1)</w:t>
      </w:r>
    </w:p>
    <w:p w14:paraId="388BADD9" w14:textId="4727BFC8" w:rsidR="00DF2567" w:rsidRDefault="3024B241" w:rsidP="3C027AF9">
      <w:pPr>
        <w:pStyle w:val="Listenabsatz"/>
        <w:numPr>
          <w:ilvl w:val="0"/>
          <w:numId w:val="2"/>
        </w:numPr>
        <w:pBdr>
          <w:top w:val="nil"/>
          <w:left w:val="nil"/>
          <w:bottom w:val="nil"/>
          <w:right w:val="nil"/>
        </w:pBdr>
        <w:spacing w:before="120" w:after="120" w:line="240" w:lineRule="auto"/>
        <w:jc w:val="both"/>
        <w:rPr>
          <w:rFonts w:ascii="Arial" w:eastAsia="Arial" w:hAnsi="Arial" w:cs="Arial"/>
          <w:color w:val="000000" w:themeColor="text1"/>
          <w:sz w:val="20"/>
          <w:szCs w:val="20"/>
        </w:rPr>
      </w:pPr>
      <w:r w:rsidRPr="3C027AF9">
        <w:rPr>
          <w:rFonts w:ascii="Arial" w:eastAsia="Arial" w:hAnsi="Arial" w:cs="Arial"/>
          <w:color w:val="000000" w:themeColor="text1"/>
          <w:sz w:val="20"/>
          <w:szCs w:val="20"/>
        </w:rPr>
        <w:t>Anpassung der Oberleitung</w:t>
      </w:r>
    </w:p>
    <w:p w14:paraId="38C5F125" w14:textId="12AD6035" w:rsidR="00DF2567" w:rsidRDefault="3024B241" w:rsidP="3C027AF9">
      <w:pPr>
        <w:pStyle w:val="Listenabsatz"/>
        <w:numPr>
          <w:ilvl w:val="0"/>
          <w:numId w:val="2"/>
        </w:numPr>
        <w:pBdr>
          <w:top w:val="nil"/>
          <w:left w:val="nil"/>
          <w:bottom w:val="nil"/>
          <w:right w:val="nil"/>
        </w:pBdr>
        <w:spacing w:before="120" w:after="120" w:line="240" w:lineRule="auto"/>
        <w:jc w:val="both"/>
        <w:rPr>
          <w:rFonts w:ascii="Arial" w:eastAsia="Arial" w:hAnsi="Arial" w:cs="Arial"/>
          <w:color w:val="000000" w:themeColor="text1"/>
          <w:sz w:val="20"/>
          <w:szCs w:val="20"/>
        </w:rPr>
      </w:pPr>
      <w:r w:rsidRPr="3C027AF9">
        <w:rPr>
          <w:rFonts w:ascii="Arial" w:eastAsia="Arial" w:hAnsi="Arial" w:cs="Arial"/>
          <w:color w:val="000000" w:themeColor="text1"/>
          <w:sz w:val="20"/>
          <w:szCs w:val="20"/>
        </w:rPr>
        <w:t>Verkabelung der Speiseleitung</w:t>
      </w:r>
    </w:p>
    <w:p w14:paraId="7E2F8DCD" w14:textId="6EBBDE07" w:rsidR="00DF2567" w:rsidRDefault="3024B241" w:rsidP="78D4D2EA">
      <w:pPr>
        <w:pBdr>
          <w:top w:val="none" w:sz="0" w:space="0" w:color="auto"/>
          <w:left w:val="none" w:sz="0" w:space="0" w:color="auto"/>
          <w:bottom w:val="none" w:sz="0" w:space="0" w:color="auto"/>
          <w:right w:val="none" w:sz="0" w:space="0" w:color="auto"/>
        </w:pBdr>
        <w:jc w:val="both"/>
      </w:pPr>
      <w:r w:rsidRPr="3C027AF9">
        <w:rPr>
          <w:rFonts w:eastAsia="Arial"/>
          <w:color w:val="000000" w:themeColor="text1"/>
        </w:rPr>
        <w:t>Ergänzend wird zu den Planungszielen auf die diesem Vertrag als Anlage 1 beigefügte „Vorhabenbeschreibung“ verwiesen.</w:t>
      </w:r>
    </w:p>
    <w:p w14:paraId="11ADAE5C" w14:textId="5BE8437B" w:rsidR="00DF2567" w:rsidRDefault="214C5B59" w:rsidP="78D4D2EA">
      <w:pPr>
        <w:pStyle w:val="H2"/>
        <w:pBdr>
          <w:top w:val="none" w:sz="0" w:space="0" w:color="auto"/>
          <w:left w:val="none" w:sz="0" w:space="0" w:color="auto"/>
          <w:bottom w:val="none" w:sz="0" w:space="0" w:color="auto"/>
          <w:right w:val="none" w:sz="0" w:space="0" w:color="auto"/>
        </w:pBdr>
        <w:spacing w:before="120"/>
        <w:jc w:val="both"/>
        <w:rPr>
          <w:rFonts w:eastAsia="Arial"/>
          <w:color w:val="000000" w:themeColor="text1"/>
        </w:rPr>
      </w:pPr>
      <w:r w:rsidRPr="78D4D2EA">
        <w:rPr>
          <w:rFonts w:eastAsia="Arial"/>
          <w:color w:val="000000" w:themeColor="text1"/>
        </w:rPr>
        <w:t>§ 2 Vertragsgrundlagen</w:t>
      </w:r>
    </w:p>
    <w:p w14:paraId="23292B5E" w14:textId="73D3DD0F" w:rsidR="00DF2567" w:rsidRDefault="214C5B59" w:rsidP="78D4D2EA">
      <w:pPr>
        <w:jc w:val="both"/>
        <w:rPr>
          <w:rFonts w:eastAsia="Arial"/>
          <w:color w:val="000000" w:themeColor="text1"/>
        </w:rPr>
      </w:pPr>
      <w:r w:rsidRPr="78D4D2EA">
        <w:rPr>
          <w:rFonts w:eastAsia="Arial"/>
          <w:color w:val="000000" w:themeColor="text1"/>
        </w:rPr>
        <w:t>(1) Der Inhalt der zwischen den Parteien getroffenen vertraglichen Vereinbarungen ergibt sich aus diesem Vertrag einschließlich seiner Anlagen. Ergänzende oder abweichende mündliche Vereinbarungen sind nicht getroffen worden. Etwaige Widersprüche der Vertragsbestandteile sind im Wege der Auslegung aufzulösen. Sollten dennoch Widersprüche verbleiben, soll die speziellere Bestimmung Vorrang vor der allgemeineren haben. Ergibt sich auch dann keine Geltungsreihenfolge, soll die jüngere Bestimmung Vorrang vor der älteren haben. Folgende Anlagen werden Vertragsbestandteil:</w:t>
      </w:r>
    </w:p>
    <w:p w14:paraId="72C1BAA9" w14:textId="3D899300" w:rsidR="00DF2567" w:rsidRDefault="214C5B59" w:rsidP="78D4D2EA">
      <w:pPr>
        <w:jc w:val="both"/>
        <w:rPr>
          <w:rFonts w:eastAsia="Arial"/>
          <w:color w:val="000000" w:themeColor="text1"/>
        </w:rPr>
      </w:pPr>
      <w:r w:rsidRPr="78D4D2EA">
        <w:rPr>
          <w:rFonts w:eastAsia="Arial"/>
          <w:color w:val="000000" w:themeColor="text1"/>
        </w:rPr>
        <w:t>– Anlage 1: Vorhabenbeschreibung</w:t>
      </w:r>
    </w:p>
    <w:p w14:paraId="5EA8CC6D" w14:textId="6D025891" w:rsidR="00DF2567" w:rsidRDefault="214C5B59" w:rsidP="78D4D2EA">
      <w:pPr>
        <w:jc w:val="both"/>
        <w:rPr>
          <w:rFonts w:eastAsia="Arial"/>
          <w:color w:val="000000" w:themeColor="text1"/>
        </w:rPr>
      </w:pPr>
      <w:r w:rsidRPr="78D4D2EA">
        <w:rPr>
          <w:rFonts w:eastAsia="Arial"/>
          <w:color w:val="000000" w:themeColor="text1"/>
        </w:rPr>
        <w:t xml:space="preserve">– Anlage 2: Vergabeunterlage inkl. Leistungsbeschreibung </w:t>
      </w:r>
    </w:p>
    <w:p w14:paraId="62A06635" w14:textId="797220A2" w:rsidR="00DF2567" w:rsidRDefault="5C9E84F5" w:rsidP="78D4D2EA">
      <w:pPr>
        <w:jc w:val="both"/>
        <w:rPr>
          <w:rFonts w:eastAsia="Arial"/>
          <w:color w:val="000000" w:themeColor="text1"/>
        </w:rPr>
      </w:pPr>
      <w:r w:rsidRPr="3C027AF9">
        <w:rPr>
          <w:rFonts w:eastAsia="Arial"/>
          <w:color w:val="000000" w:themeColor="text1"/>
        </w:rPr>
        <w:t>– Anlage 3: verbindliches Angebot des Auftragnehmers vom [</w:t>
      </w:r>
      <w:r w:rsidRPr="3C027AF9">
        <w:rPr>
          <w:rFonts w:eastAsia="Arial"/>
          <w:color w:val="000000" w:themeColor="text1"/>
          <w:highlight w:val="lightGray"/>
        </w:rPr>
        <w:t>…</w:t>
      </w:r>
      <w:r w:rsidRPr="3C027AF9">
        <w:rPr>
          <w:rFonts w:eastAsia="Arial"/>
          <w:color w:val="000000" w:themeColor="text1"/>
        </w:rPr>
        <w:t>]</w:t>
      </w:r>
      <w:r w:rsidR="1B2AF0F3" w:rsidRPr="3C027AF9">
        <w:rPr>
          <w:rFonts w:eastAsia="Arial"/>
          <w:color w:val="000000" w:themeColor="text1"/>
        </w:rPr>
        <w:t>, inkl. Preisblatt</w:t>
      </w:r>
      <w:r w:rsidRPr="3C027AF9">
        <w:rPr>
          <w:rFonts w:eastAsia="Arial"/>
          <w:color w:val="000000" w:themeColor="text1"/>
        </w:rPr>
        <w:t>,</w:t>
      </w:r>
    </w:p>
    <w:p w14:paraId="717E3075" w14:textId="2F1ED129" w:rsidR="00DF2567" w:rsidRDefault="214C5B59" w:rsidP="78D4D2EA">
      <w:pPr>
        <w:jc w:val="both"/>
        <w:rPr>
          <w:rFonts w:eastAsia="Arial"/>
          <w:color w:val="000000" w:themeColor="text1"/>
        </w:rPr>
      </w:pPr>
      <w:r w:rsidRPr="78D4D2EA">
        <w:rPr>
          <w:rFonts w:eastAsia="Arial"/>
          <w:color w:val="000000" w:themeColor="text1"/>
        </w:rPr>
        <w:t>Grundlagen des Vertragsverhältnisses sind im Übrigen:</w:t>
      </w:r>
    </w:p>
    <w:p w14:paraId="778CA566" w14:textId="627A02EB" w:rsidR="00DF2567" w:rsidRDefault="214C5B59" w:rsidP="78D4D2EA">
      <w:pPr>
        <w:jc w:val="both"/>
        <w:rPr>
          <w:rFonts w:eastAsia="Arial"/>
          <w:color w:val="000000" w:themeColor="text1"/>
        </w:rPr>
      </w:pPr>
      <w:r w:rsidRPr="78D4D2EA">
        <w:rPr>
          <w:rFonts w:eastAsia="Arial"/>
          <w:color w:val="000000" w:themeColor="text1"/>
        </w:rPr>
        <w:t>1. Die für das Bauvorhaben relevanten öffentlich-rechtlichen Bestimmungen</w:t>
      </w:r>
    </w:p>
    <w:p w14:paraId="07E10AD0" w14:textId="61F041DD" w:rsidR="00DF2567" w:rsidRDefault="214C5B59" w:rsidP="78D4D2EA">
      <w:pPr>
        <w:jc w:val="both"/>
        <w:rPr>
          <w:rFonts w:eastAsia="Arial"/>
          <w:color w:val="000000" w:themeColor="text1"/>
        </w:rPr>
      </w:pPr>
      <w:r w:rsidRPr="78D4D2EA">
        <w:rPr>
          <w:rFonts w:eastAsia="Arial"/>
          <w:color w:val="000000" w:themeColor="text1"/>
        </w:rPr>
        <w:t>2. Die Honorarordnung für Architekten und Ingenieure (HOAI) in der bei Vertragsschluss geltenden Fassung</w:t>
      </w:r>
    </w:p>
    <w:p w14:paraId="3D5F2655" w14:textId="61831DAF" w:rsidR="00DF2567" w:rsidRDefault="214C5B59" w:rsidP="78D4D2EA">
      <w:pPr>
        <w:jc w:val="both"/>
        <w:rPr>
          <w:rFonts w:eastAsia="Arial"/>
          <w:color w:val="000000" w:themeColor="text1"/>
        </w:rPr>
      </w:pPr>
      <w:r w:rsidRPr="78D4D2EA">
        <w:rPr>
          <w:rFonts w:eastAsia="Arial"/>
          <w:color w:val="000000" w:themeColor="text1"/>
        </w:rPr>
        <w:t>3. Die Bestimmungen des Bürgerlichen Gesetzbuches, insbesondere diejenigen über den Architekten- und Ingenieurvertrag ( §§ 650p ff. iVm. §§ 631 ff. und §§ 650a ff. BGB).</w:t>
      </w:r>
    </w:p>
    <w:p w14:paraId="6E7BEAA2" w14:textId="4D7F8444" w:rsidR="00DF2567" w:rsidRDefault="00DF2567" w:rsidP="78D4D2EA"/>
    <w:p w14:paraId="1F949733" w14:textId="2D5FCE2F" w:rsidR="00DF2567" w:rsidRDefault="78D4D2EA">
      <w:pPr>
        <w:pStyle w:val="H2"/>
      </w:pPr>
      <w:r>
        <w:t xml:space="preserve">§ 3 </w:t>
      </w:r>
      <w:r w:rsidR="050FC6AE">
        <w:t xml:space="preserve">Beauftragter </w:t>
      </w:r>
      <w:r>
        <w:t>Leistungsumfang</w:t>
      </w:r>
    </w:p>
    <w:p w14:paraId="6CB5ADDD" w14:textId="00F3E286" w:rsidR="4426FE2A" w:rsidRPr="00F654A1" w:rsidRDefault="4426FE2A" w:rsidP="3C027AF9">
      <w:pPr>
        <w:jc w:val="both"/>
      </w:pPr>
      <w:r w:rsidRPr="00F654A1">
        <w:t xml:space="preserve">(1) </w:t>
      </w:r>
      <w:r w:rsidR="3EB5EE57" w:rsidRPr="00F654A1">
        <w:t>D</w:t>
      </w:r>
      <w:r w:rsidR="005D1C27" w:rsidRPr="00F654A1">
        <w:t>ie</w:t>
      </w:r>
      <w:r w:rsidR="3EB5EE57" w:rsidRPr="00F654A1">
        <w:t xml:space="preserve"> AG beauftragt den Auftragnehmer (AN) nach näherer Maßgabe de</w:t>
      </w:r>
      <w:r w:rsidR="5FEF463D" w:rsidRPr="00F654A1">
        <w:t>r</w:t>
      </w:r>
      <w:r w:rsidR="3EB5EE57" w:rsidRPr="00F654A1">
        <w:t xml:space="preserve"> folgenden</w:t>
      </w:r>
      <w:r w:rsidR="072EF929" w:rsidRPr="00F654A1">
        <w:t xml:space="preserve"> Abs. 2 und A</w:t>
      </w:r>
      <w:r w:rsidR="526A25EE" w:rsidRPr="00F654A1">
        <w:t>b</w:t>
      </w:r>
      <w:r w:rsidR="072EF929" w:rsidRPr="00F654A1">
        <w:t>s. 3.</w:t>
      </w:r>
      <w:r w:rsidR="3EB5EE57" w:rsidRPr="00F654A1">
        <w:t xml:space="preserve"> </w:t>
      </w:r>
      <w:r w:rsidR="72A85C33" w:rsidRPr="00F654A1">
        <w:t>sowie</w:t>
      </w:r>
      <w:r w:rsidR="3EB5EE57" w:rsidRPr="00F654A1">
        <w:t xml:space="preserve"> der Leistungsbeschreibung (s. Anlage 2) mit der Erbringung von Planungsleistungen der Leistungsphasen </w:t>
      </w:r>
      <w:r w:rsidR="16354572" w:rsidRPr="00F654A1">
        <w:t>2</w:t>
      </w:r>
      <w:r w:rsidR="3EB5EE57" w:rsidRPr="00F654A1">
        <w:t xml:space="preserve"> bis </w:t>
      </w:r>
      <w:r w:rsidR="25F765DD" w:rsidRPr="00F654A1">
        <w:t>6, 8 und 9</w:t>
      </w:r>
      <w:r w:rsidR="3EB5EE57" w:rsidRPr="00F654A1">
        <w:t xml:space="preserve"> die dem Leistungsbild </w:t>
      </w:r>
      <w:r w:rsidR="62DBDE92" w:rsidRPr="00F654A1">
        <w:t>Tragwerksplanung</w:t>
      </w:r>
      <w:r w:rsidR="3EB5EE57" w:rsidRPr="00F654A1">
        <w:t> (§ </w:t>
      </w:r>
      <w:r w:rsidR="4550D564" w:rsidRPr="00F654A1">
        <w:t>51</w:t>
      </w:r>
      <w:r w:rsidR="3EB5EE57" w:rsidRPr="00F654A1">
        <w:t xml:space="preserve"> Abs. </w:t>
      </w:r>
      <w:r w:rsidR="2F751D78" w:rsidRPr="00F654A1">
        <w:t>5</w:t>
      </w:r>
      <w:r w:rsidR="3EB5EE57" w:rsidRPr="00F654A1">
        <w:t xml:space="preserve"> HOAI iVm Anlage 1</w:t>
      </w:r>
      <w:r w:rsidR="189F7625" w:rsidRPr="00F654A1">
        <w:t>4</w:t>
      </w:r>
      <w:r w:rsidR="3EB5EE57" w:rsidRPr="00F654A1">
        <w:t xml:space="preserve"> zu HOAI) zuzuordnen sind. </w:t>
      </w:r>
    </w:p>
    <w:p w14:paraId="154F50D0" w14:textId="1A39A010" w:rsidR="3EB5EE57" w:rsidRPr="00F654A1" w:rsidRDefault="3EB5EE57" w:rsidP="3C027AF9">
      <w:pPr>
        <w:jc w:val="both"/>
      </w:pPr>
      <w:r w:rsidRPr="00F654A1">
        <w:t>(2) Die Beauftragung erfolgt in Leistungsstufen:</w:t>
      </w:r>
    </w:p>
    <w:p w14:paraId="164C42B1" w14:textId="0C7442E4" w:rsidR="3EB5EE57" w:rsidRPr="00F654A1" w:rsidRDefault="3EB5EE57" w:rsidP="3C027AF9">
      <w:pPr>
        <w:jc w:val="both"/>
        <w:rPr>
          <w:rFonts w:eastAsia="Arial"/>
          <w:color w:val="000000" w:themeColor="text1"/>
        </w:rPr>
      </w:pPr>
      <w:r w:rsidRPr="00F654A1">
        <w:rPr>
          <w:rFonts w:eastAsia="Arial"/>
          <w:color w:val="000000" w:themeColor="text1"/>
        </w:rPr>
        <w:t>- Stufe 1:</w:t>
      </w:r>
    </w:p>
    <w:p w14:paraId="403D6747" w14:textId="55301807" w:rsidR="3EB5EE57" w:rsidRDefault="3EB5EE57" w:rsidP="3C027AF9">
      <w:pPr>
        <w:ind w:left="720"/>
        <w:jc w:val="both"/>
        <w:rPr>
          <w:rFonts w:eastAsia="Arial"/>
          <w:color w:val="000000" w:themeColor="text1"/>
        </w:rPr>
      </w:pPr>
      <w:r w:rsidRPr="00F654A1">
        <w:rPr>
          <w:rFonts w:eastAsia="Arial"/>
          <w:color w:val="000000" w:themeColor="text1"/>
        </w:rPr>
        <w:t xml:space="preserve">- Grundleistungen der LPH </w:t>
      </w:r>
      <w:r w:rsidR="49AB398A" w:rsidRPr="00F654A1">
        <w:rPr>
          <w:rFonts w:eastAsia="Arial"/>
          <w:color w:val="000000" w:themeColor="text1"/>
        </w:rPr>
        <w:t>2</w:t>
      </w:r>
      <w:r w:rsidRPr="00F654A1">
        <w:rPr>
          <w:rFonts w:eastAsia="Arial"/>
          <w:color w:val="000000" w:themeColor="text1"/>
        </w:rPr>
        <w:t>-3</w:t>
      </w:r>
      <w:r w:rsidRPr="3C027AF9">
        <w:rPr>
          <w:rFonts w:eastAsia="Arial"/>
          <w:color w:val="000000" w:themeColor="text1"/>
        </w:rPr>
        <w:t xml:space="preserve">  </w:t>
      </w:r>
    </w:p>
    <w:p w14:paraId="3E5C0FDB" w14:textId="16398EFC" w:rsidR="3EB5EE57" w:rsidRPr="00075444" w:rsidRDefault="3EB5EE57" w:rsidP="3C027AF9">
      <w:pPr>
        <w:jc w:val="both"/>
        <w:rPr>
          <w:rFonts w:eastAsia="Arial"/>
          <w:color w:val="000000" w:themeColor="text1"/>
        </w:rPr>
      </w:pPr>
      <w:r w:rsidRPr="00075444">
        <w:rPr>
          <w:rFonts w:eastAsia="Arial"/>
          <w:color w:val="000000" w:themeColor="text1"/>
        </w:rPr>
        <w:t>- Stufe 2:</w:t>
      </w:r>
    </w:p>
    <w:p w14:paraId="2881A4CA" w14:textId="496D16F8" w:rsidR="3EB5EE57" w:rsidRDefault="3EB5EE57" w:rsidP="3C027AF9">
      <w:pPr>
        <w:ind w:left="720"/>
        <w:jc w:val="both"/>
        <w:rPr>
          <w:rFonts w:eastAsia="Arial"/>
          <w:color w:val="000000" w:themeColor="text1"/>
        </w:rPr>
      </w:pPr>
      <w:r w:rsidRPr="00075444">
        <w:rPr>
          <w:rFonts w:eastAsia="Arial"/>
          <w:color w:val="000000" w:themeColor="text1"/>
        </w:rPr>
        <w:t>- Grundleistungen der LPH 4-</w:t>
      </w:r>
      <w:r w:rsidR="235117BC" w:rsidRPr="00075444">
        <w:rPr>
          <w:rFonts w:eastAsia="Arial"/>
          <w:color w:val="000000" w:themeColor="text1"/>
        </w:rPr>
        <w:t>6</w:t>
      </w:r>
      <w:r w:rsidRPr="3C027AF9">
        <w:rPr>
          <w:rFonts w:eastAsia="Arial"/>
          <w:color w:val="000000" w:themeColor="text1"/>
        </w:rPr>
        <w:t xml:space="preserve"> </w:t>
      </w:r>
    </w:p>
    <w:p w14:paraId="29A31E39" w14:textId="4D46126D" w:rsidR="038DD815" w:rsidRDefault="038DD815" w:rsidP="3C027AF9">
      <w:pPr>
        <w:jc w:val="both"/>
      </w:pPr>
      <w:r>
        <w:t xml:space="preserve">a) Zunächst werden nur die Leistungen der Stufe 1 beauftragt. </w:t>
      </w:r>
    </w:p>
    <w:p w14:paraId="045388F1" w14:textId="3DBF1AD1" w:rsidR="038DD815" w:rsidRDefault="038DD815" w:rsidP="3C027AF9">
      <w:pPr>
        <w:jc w:val="both"/>
      </w:pPr>
      <w:r>
        <w:t xml:space="preserve">b) Die Auftraggeberin beabsichtigt, die nachfolgenden Leistungsstufe 2 ebenfalls zu beauftragen. </w:t>
      </w:r>
    </w:p>
    <w:p w14:paraId="518CCBA1" w14:textId="1EDE4C30" w:rsidR="038DD815" w:rsidRPr="00F654A1" w:rsidRDefault="038DD815" w:rsidP="3C027AF9">
      <w:pPr>
        <w:jc w:val="both"/>
      </w:pPr>
      <w:r>
        <w:t xml:space="preserve">c) Ein Rechtsanspruch des Auftragnehmers auf Beauftragung der weiteren Leistungsstufen (Stufe 2) besteht nicht. Der Auftragnehmer ist verpflichtet, die Leistungen der weiteren Leistungsstufen zu erbringen, </w:t>
      </w:r>
      <w:r w:rsidRPr="00F654A1">
        <w:t xml:space="preserve">wenn die Auftraggeberin sie ihm überträgt. Er verpflichtet sich, auch die über die in der Leistungsbeschreibung (Anlage 2) genannten Leistungen hinausgehenden Leistungen nach den Bedingungen dieses Vertrages zu erbringen, sofern diese Leistungen durch </w:t>
      </w:r>
      <w:r w:rsidR="005D1C27" w:rsidRPr="00F654A1">
        <w:t>die AG</w:t>
      </w:r>
      <w:r w:rsidRPr="00F654A1">
        <w:t xml:space="preserve"> beauftragt werden. Aus Projektverzögerungen, die allein auf die stufenweise Beauftragung zurückzuführen sind, kann der AN einen zusätzlichen Vergütungs- oder sonstigen Zahlungsanspruch nicht herleiten. </w:t>
      </w:r>
    </w:p>
    <w:p w14:paraId="029AA5AA" w14:textId="2594D00F" w:rsidR="038DD815" w:rsidRPr="00F654A1" w:rsidRDefault="038DD815" w:rsidP="3C027AF9">
      <w:pPr>
        <w:jc w:val="both"/>
        <w:rPr>
          <w:rFonts w:eastAsia="Arial"/>
        </w:rPr>
      </w:pPr>
      <w:r w:rsidRPr="00F654A1">
        <w:rPr>
          <w:rFonts w:eastAsia="Arial"/>
        </w:rPr>
        <w:t>(3) Die besondere</w:t>
      </w:r>
      <w:r w:rsidR="7EF38461" w:rsidRPr="00F654A1">
        <w:rPr>
          <w:rFonts w:eastAsia="Arial"/>
        </w:rPr>
        <w:t>n</w:t>
      </w:r>
      <w:r w:rsidRPr="00F654A1">
        <w:rPr>
          <w:rFonts w:eastAsia="Arial"/>
        </w:rPr>
        <w:t xml:space="preserve"> Leistung</w:t>
      </w:r>
      <w:r w:rsidR="77BD905D" w:rsidRPr="00F654A1">
        <w:rPr>
          <w:rFonts w:eastAsia="Arial"/>
        </w:rPr>
        <w:t>en</w:t>
      </w:r>
      <w:r w:rsidR="0B1DE318" w:rsidRPr="00F654A1">
        <w:rPr>
          <w:rFonts w:eastAsia="Arial"/>
        </w:rPr>
        <w:t xml:space="preserve"> </w:t>
      </w:r>
    </w:p>
    <w:p w14:paraId="026EE37D" w14:textId="48F6249A" w:rsidR="0B1DE318" w:rsidRPr="00F654A1" w:rsidRDefault="0B1DE318" w:rsidP="3C027AF9">
      <w:pPr>
        <w:pStyle w:val="Listenabsatz"/>
        <w:numPr>
          <w:ilvl w:val="0"/>
          <w:numId w:val="1"/>
        </w:numPr>
        <w:jc w:val="both"/>
        <w:rPr>
          <w:rFonts w:ascii="Arial" w:eastAsia="Arial" w:hAnsi="Arial" w:cs="Arial"/>
          <w:sz w:val="20"/>
          <w:szCs w:val="20"/>
        </w:rPr>
      </w:pPr>
      <w:r w:rsidRPr="00F654A1">
        <w:rPr>
          <w:rFonts w:ascii="Arial" w:eastAsia="Arial" w:hAnsi="Arial" w:cs="Arial"/>
          <w:sz w:val="20"/>
          <w:szCs w:val="20"/>
        </w:rPr>
        <w:t>Vorläufige nachprüfbare Berechnung wesentlicher tragender Teile (LPH 2)</w:t>
      </w:r>
    </w:p>
    <w:p w14:paraId="7C59D58E" w14:textId="1F6ACA4B" w:rsidR="0B1DE318" w:rsidRPr="00F654A1" w:rsidRDefault="0B1DE318" w:rsidP="3C027AF9">
      <w:pPr>
        <w:pStyle w:val="Listenabsatz"/>
        <w:numPr>
          <w:ilvl w:val="0"/>
          <w:numId w:val="1"/>
        </w:numPr>
        <w:jc w:val="both"/>
        <w:rPr>
          <w:rFonts w:ascii="Arial" w:eastAsia="Arial" w:hAnsi="Arial" w:cs="Arial"/>
          <w:sz w:val="20"/>
          <w:szCs w:val="20"/>
        </w:rPr>
      </w:pPr>
      <w:r w:rsidRPr="00F654A1">
        <w:rPr>
          <w:rFonts w:ascii="Arial" w:eastAsia="Arial" w:hAnsi="Arial" w:cs="Arial"/>
          <w:sz w:val="20"/>
          <w:szCs w:val="20"/>
        </w:rPr>
        <w:lastRenderedPageBreak/>
        <w:t>Vorläufige nachprüfbare Berechnung der Gründung (LPH 2)</w:t>
      </w:r>
    </w:p>
    <w:p w14:paraId="4FCE3B0D" w14:textId="4E9EA5EF" w:rsidR="0B1DE318" w:rsidRPr="00F654A1" w:rsidRDefault="0B1DE318" w:rsidP="3C027AF9">
      <w:pPr>
        <w:pStyle w:val="Listenabsatz"/>
        <w:numPr>
          <w:ilvl w:val="0"/>
          <w:numId w:val="1"/>
        </w:numPr>
        <w:jc w:val="both"/>
        <w:rPr>
          <w:rFonts w:ascii="Arial" w:eastAsia="Arial" w:hAnsi="Arial" w:cs="Arial"/>
          <w:sz w:val="20"/>
          <w:szCs w:val="20"/>
        </w:rPr>
      </w:pPr>
      <w:r w:rsidRPr="00F654A1">
        <w:rPr>
          <w:rFonts w:ascii="Arial" w:eastAsia="Arial" w:hAnsi="Arial" w:cs="Arial"/>
          <w:color w:val="000000" w:themeColor="text1"/>
          <w:sz w:val="20"/>
          <w:szCs w:val="20"/>
        </w:rPr>
        <w:t>Vorgezogene Stahl- oder Holzmengenermittlung des Tragwerks und der kraftübertragenden Verbindungsteile für eine Ausschreibung, die ohne Vorliegen von Ausführungsunterlagen durchgeführt wird (LPH 3)</w:t>
      </w:r>
    </w:p>
    <w:p w14:paraId="7663DFE7" w14:textId="0EE3187D" w:rsidR="0B1DE318" w:rsidRPr="00F654A1" w:rsidRDefault="0B1DE318" w:rsidP="3C027AF9">
      <w:pPr>
        <w:pStyle w:val="Listenabsatz"/>
        <w:numPr>
          <w:ilvl w:val="0"/>
          <w:numId w:val="1"/>
        </w:numPr>
        <w:jc w:val="both"/>
        <w:rPr>
          <w:rFonts w:ascii="Arial" w:eastAsia="Arial" w:hAnsi="Arial" w:cs="Arial"/>
          <w:sz w:val="20"/>
          <w:szCs w:val="20"/>
        </w:rPr>
      </w:pPr>
      <w:r w:rsidRPr="00F654A1">
        <w:rPr>
          <w:rFonts w:ascii="Arial" w:eastAsia="Arial" w:hAnsi="Arial" w:cs="Arial"/>
          <w:sz w:val="20"/>
          <w:szCs w:val="20"/>
        </w:rPr>
        <w:t xml:space="preserve">Erfassen von Bauzuständen bei Ingenieurbauwerken, in denen das statische System von dem des Endzustands abweicht (LPH 4)  </w:t>
      </w:r>
    </w:p>
    <w:p w14:paraId="2081ABF0" w14:textId="3D80FBA3" w:rsidR="0B1DE318" w:rsidRPr="00F654A1" w:rsidRDefault="0B1DE318" w:rsidP="3C027AF9">
      <w:pPr>
        <w:pStyle w:val="Listenabsatz"/>
        <w:numPr>
          <w:ilvl w:val="0"/>
          <w:numId w:val="1"/>
        </w:numPr>
        <w:jc w:val="both"/>
        <w:rPr>
          <w:rFonts w:ascii="Arial" w:eastAsia="Arial" w:hAnsi="Arial" w:cs="Arial"/>
          <w:sz w:val="20"/>
          <w:szCs w:val="20"/>
        </w:rPr>
      </w:pPr>
      <w:r w:rsidRPr="00F654A1">
        <w:rPr>
          <w:rFonts w:ascii="Arial" w:eastAsia="Arial" w:hAnsi="Arial" w:cs="Arial"/>
          <w:color w:val="000000" w:themeColor="text1"/>
          <w:sz w:val="20"/>
          <w:szCs w:val="20"/>
        </w:rPr>
        <w:t>Konstruktion und Nachweise der Anschlüsse im Stahl- und Holzbau (LPH 5)</w:t>
      </w:r>
    </w:p>
    <w:p w14:paraId="2923DB1C" w14:textId="7F990C8A" w:rsidR="0B1DE318" w:rsidRPr="00F654A1" w:rsidRDefault="0B1DE318" w:rsidP="3C027AF9">
      <w:pPr>
        <w:pStyle w:val="Listenabsatz"/>
        <w:numPr>
          <w:ilvl w:val="0"/>
          <w:numId w:val="1"/>
        </w:numPr>
        <w:jc w:val="both"/>
        <w:rPr>
          <w:rFonts w:ascii="Arial" w:eastAsia="Arial" w:hAnsi="Arial" w:cs="Arial"/>
          <w:sz w:val="20"/>
          <w:szCs w:val="20"/>
        </w:rPr>
      </w:pPr>
      <w:r w:rsidRPr="00F654A1">
        <w:rPr>
          <w:rFonts w:ascii="Arial" w:eastAsia="Arial" w:hAnsi="Arial" w:cs="Arial"/>
          <w:sz w:val="20"/>
          <w:szCs w:val="20"/>
        </w:rPr>
        <w:t>Ingenieurtechnische Kontrolle der Ausführung des Tragwerks auf Übereinstimmung mit den geprüften statischen Unterlagen (LPH 8)</w:t>
      </w:r>
    </w:p>
    <w:p w14:paraId="060B8177" w14:textId="64A1D8BE" w:rsidR="0B1DE318" w:rsidRPr="00F654A1" w:rsidRDefault="0B1DE318" w:rsidP="3C027AF9">
      <w:pPr>
        <w:pStyle w:val="Listenabsatz"/>
        <w:numPr>
          <w:ilvl w:val="0"/>
          <w:numId w:val="1"/>
        </w:numPr>
        <w:rPr>
          <w:rFonts w:ascii="Arial" w:eastAsia="Arial" w:hAnsi="Arial" w:cs="Arial"/>
          <w:sz w:val="20"/>
          <w:szCs w:val="20"/>
        </w:rPr>
      </w:pPr>
      <w:r w:rsidRPr="00F654A1">
        <w:rPr>
          <w:rFonts w:ascii="Arial" w:eastAsia="Arial" w:hAnsi="Arial" w:cs="Arial"/>
          <w:sz w:val="20"/>
          <w:szCs w:val="20"/>
        </w:rPr>
        <w:t xml:space="preserve">Ingenieurtechnische Kontrolle der Baubehelfe, zum Beispiel Arbeits- und Lehrgerüste, Kranbahnen, Baugrubensicherungen (LPH 8) </w:t>
      </w:r>
    </w:p>
    <w:p w14:paraId="550C6E1D" w14:textId="727525D5" w:rsidR="0B1DE318" w:rsidRPr="00F654A1" w:rsidRDefault="0B1DE318" w:rsidP="3C027AF9">
      <w:pPr>
        <w:pStyle w:val="Listenabsatz"/>
        <w:numPr>
          <w:ilvl w:val="0"/>
          <w:numId w:val="1"/>
        </w:numPr>
        <w:rPr>
          <w:rFonts w:ascii="Arial" w:eastAsia="Arial" w:hAnsi="Arial" w:cs="Arial"/>
          <w:sz w:val="20"/>
          <w:szCs w:val="20"/>
        </w:rPr>
      </w:pPr>
      <w:r w:rsidRPr="00F654A1">
        <w:rPr>
          <w:rFonts w:ascii="Arial" w:eastAsia="Arial" w:hAnsi="Arial" w:cs="Arial"/>
          <w:sz w:val="20"/>
          <w:szCs w:val="20"/>
        </w:rPr>
        <w:t>Kontrolle der Betonherstellung und -verarbeitung auf der Baustelle in besonderen Fällen sowie Auswertung der Güteprüfungen (LPH 8)</w:t>
      </w:r>
    </w:p>
    <w:p w14:paraId="1A6F3F66" w14:textId="6A3BF928" w:rsidR="0B1DE318" w:rsidRPr="00F654A1" w:rsidRDefault="0B1DE318" w:rsidP="3C027AF9">
      <w:pPr>
        <w:pStyle w:val="Listenabsatz"/>
        <w:numPr>
          <w:ilvl w:val="0"/>
          <w:numId w:val="1"/>
        </w:numPr>
        <w:rPr>
          <w:rFonts w:ascii="Arial" w:eastAsia="Arial" w:hAnsi="Arial" w:cs="Arial"/>
          <w:sz w:val="20"/>
          <w:szCs w:val="20"/>
        </w:rPr>
      </w:pPr>
      <w:r w:rsidRPr="00F654A1">
        <w:rPr>
          <w:rFonts w:ascii="Arial" w:eastAsia="Arial" w:hAnsi="Arial" w:cs="Arial"/>
          <w:sz w:val="20"/>
          <w:szCs w:val="20"/>
        </w:rPr>
        <w:t>Baubegehung zur Feststellung und Überwachung von die Standsicherheit betreffenden Einflüssen</w:t>
      </w:r>
      <w:r w:rsidR="47667A5B" w:rsidRPr="00F654A1">
        <w:rPr>
          <w:rFonts w:ascii="Arial" w:eastAsia="Arial" w:hAnsi="Arial" w:cs="Arial"/>
          <w:sz w:val="20"/>
          <w:szCs w:val="20"/>
        </w:rPr>
        <w:t xml:space="preserve"> (LPH 9)</w:t>
      </w:r>
      <w:r w:rsidRPr="00F654A1">
        <w:rPr>
          <w:rFonts w:ascii="Arial" w:eastAsia="Arial" w:hAnsi="Arial" w:cs="Arial"/>
          <w:sz w:val="20"/>
          <w:szCs w:val="20"/>
        </w:rPr>
        <w:t xml:space="preserve">  </w:t>
      </w:r>
    </w:p>
    <w:p w14:paraId="1F8902F4" w14:textId="66430F59" w:rsidR="0021623B" w:rsidRPr="00F654A1" w:rsidRDefault="18F7BC7C" w:rsidP="0021623B">
      <w:pPr>
        <w:jc w:val="both"/>
      </w:pPr>
      <w:r w:rsidRPr="00F654A1">
        <w:t>werden jeweils</w:t>
      </w:r>
      <w:r w:rsidR="038DD815" w:rsidRPr="00F654A1">
        <w:t xml:space="preserve"> unabhängig von den vorstehenden Leistungsstufen optional durch die Auftraggeberin beauftragt. Die </w:t>
      </w:r>
      <w:r w:rsidR="5646BCE7" w:rsidRPr="00F654A1">
        <w:t>besonderen können auch einzeln b</w:t>
      </w:r>
      <w:r w:rsidR="038DD815" w:rsidRPr="00F654A1">
        <w:t>eauftrag</w:t>
      </w:r>
      <w:r w:rsidR="207A367E" w:rsidRPr="00F654A1">
        <w:t>t werden</w:t>
      </w:r>
      <w:r w:rsidR="038DD815" w:rsidRPr="00F654A1">
        <w:t xml:space="preserve"> erfolgt. Ein Rechtsanspruch auf die Beauftragung dieser optionalen Leistung</w:t>
      </w:r>
      <w:r w:rsidR="32A80F32" w:rsidRPr="00F654A1">
        <w:t>en</w:t>
      </w:r>
      <w:r w:rsidR="038DD815" w:rsidRPr="00F654A1">
        <w:t xml:space="preserve"> besteht</w:t>
      </w:r>
      <w:r w:rsidR="78AB6832" w:rsidRPr="00F654A1">
        <w:t xml:space="preserve"> jeweils</w:t>
      </w:r>
      <w:r w:rsidR="038DD815" w:rsidRPr="00F654A1">
        <w:t xml:space="preserve"> nicht.    </w:t>
      </w:r>
    </w:p>
    <w:p w14:paraId="53DE5D8C" w14:textId="7DE691DA" w:rsidR="4D156E25" w:rsidRDefault="4D156E25" w:rsidP="3C027AF9">
      <w:pPr>
        <w:spacing w:before="0"/>
      </w:pPr>
      <w:r w:rsidRPr="3C027AF9">
        <w:rPr>
          <w:rFonts w:ascii="Roboto" w:eastAsia="Roboto" w:hAnsi="Roboto" w:cs="Roboto"/>
          <w:b/>
          <w:bCs/>
          <w:color w:val="141414"/>
          <w:sz w:val="25"/>
          <w:szCs w:val="25"/>
        </w:rPr>
        <w:t xml:space="preserve">§ 4 </w:t>
      </w:r>
      <w:r w:rsidR="402D128B" w:rsidRPr="3C027AF9">
        <w:rPr>
          <w:rFonts w:ascii="Roboto" w:eastAsia="Roboto" w:hAnsi="Roboto" w:cs="Roboto"/>
          <w:b/>
          <w:bCs/>
          <w:color w:val="141414"/>
          <w:sz w:val="25"/>
          <w:szCs w:val="25"/>
        </w:rPr>
        <w:t>Leistungspflichten des Auftragnehmers</w:t>
      </w:r>
    </w:p>
    <w:p w14:paraId="75C4C65D" w14:textId="257D0746" w:rsidR="402D128B" w:rsidRDefault="402D128B" w:rsidP="3C027AF9">
      <w:pPr>
        <w:jc w:val="both"/>
        <w:rPr>
          <w:rFonts w:eastAsia="Arial"/>
          <w:color w:val="000000" w:themeColor="text1"/>
        </w:rPr>
      </w:pPr>
      <w:r w:rsidRPr="3C027AF9">
        <w:rPr>
          <w:rFonts w:eastAsia="Arial"/>
          <w:color w:val="000000" w:themeColor="text1"/>
        </w:rPr>
        <w:t>(1)  Die Parteien sind sich darüber einig, dass die wesentlichen Planungs- und Überwachungsziele durch die in § 1 Abs. 3 benannten Zielvorstellungen hinreichend definiert sind, so dass eine Zielfindungsphase im Sinne von § 650p Abs. 2 BGB entfällt.</w:t>
      </w:r>
    </w:p>
    <w:p w14:paraId="7AD76A93" w14:textId="00B459EB" w:rsidR="402D128B" w:rsidRDefault="402D128B" w:rsidP="3C027AF9">
      <w:pPr>
        <w:jc w:val="both"/>
        <w:rPr>
          <w:rFonts w:eastAsia="Arial"/>
          <w:color w:val="000000" w:themeColor="text1"/>
        </w:rPr>
      </w:pPr>
      <w:r w:rsidRPr="3C027AF9">
        <w:rPr>
          <w:rFonts w:eastAsia="Arial"/>
          <w:color w:val="000000" w:themeColor="text1"/>
        </w:rPr>
        <w:t>(2)  Mit Abschluss dieses Vertrages verpflichtet sich der Auftragnehmer gemäß § 650p Abs. 1 BGB, nach näherer Maßgabe dieses Vertrages diejenigen Leistungen zu erbringen, die nach dem jeweiligen Stand der Planung und Ausführung erforderlich sind, um die zwischen den Parteien vereinbarten – und gegebenenfalls nach Vertragsschluss weiter entwickelten – Planungs- und Überwachungsziele zu erreichen.</w:t>
      </w:r>
    </w:p>
    <w:p w14:paraId="3C908E30" w14:textId="6D71359D" w:rsidR="402D128B" w:rsidRDefault="402D128B" w:rsidP="3C027AF9">
      <w:pPr>
        <w:jc w:val="both"/>
        <w:rPr>
          <w:rFonts w:eastAsia="Arial"/>
          <w:color w:val="000000" w:themeColor="text1"/>
        </w:rPr>
      </w:pPr>
      <w:r w:rsidRPr="3C027AF9">
        <w:rPr>
          <w:rFonts w:eastAsia="Arial"/>
          <w:color w:val="000000" w:themeColor="text1"/>
        </w:rPr>
        <w:t>(3) Zur Erzielung der vorstehend beschriebenen Planungs- und Überwachungsziele hat der Auftragnehmer sämtliche Grundleistungen der beauftragten Leistungsphasen nach § 43 HOAI iVm der Anlage 12 zur HOAI zu erbringen, und zwar unabhängig davon, ob sie im Einzelfall zur Erzielung des Gesamterfolges erforderlich sind oder nicht. </w:t>
      </w:r>
    </w:p>
    <w:p w14:paraId="543C891F" w14:textId="04F58AC5" w:rsidR="402D128B" w:rsidRDefault="402D128B" w:rsidP="3C027AF9">
      <w:pPr>
        <w:jc w:val="both"/>
        <w:rPr>
          <w:rFonts w:eastAsia="Arial"/>
          <w:color w:val="000000" w:themeColor="text1"/>
        </w:rPr>
      </w:pPr>
      <w:r w:rsidRPr="3C027AF9">
        <w:rPr>
          <w:rFonts w:eastAsia="Arial"/>
          <w:color w:val="000000" w:themeColor="text1"/>
        </w:rPr>
        <w:t>(4) Soweit über die in dem vorstehenden Absatz 2 beschriebenen Einzelleistungen hinaus weitere Leistungen zur Erzielung des geschuldeten Gesamterfolges erforderlich werden, sind auch diese in den Grenzen, die sich aus dem nachfolgenden Absatz ergeben, vom Auftragnehmer zu erbringen. Ein zusätzlicher Vergütungsanspruch für geänderte Leistungen steht dem Auftragnehmer nur insoweit zu, als sich dies aus den Bestimmungen dieses Vertrages ergibt (§ </w:t>
      </w:r>
      <w:r w:rsidR="00075444">
        <w:rPr>
          <w:rFonts w:eastAsia="Arial"/>
          <w:color w:val="000000" w:themeColor="text1"/>
        </w:rPr>
        <w:t>9</w:t>
      </w:r>
      <w:r w:rsidRPr="3C027AF9">
        <w:rPr>
          <w:rFonts w:eastAsia="Arial"/>
          <w:color w:val="000000" w:themeColor="text1"/>
        </w:rPr>
        <w:t xml:space="preserve">). </w:t>
      </w:r>
    </w:p>
    <w:p w14:paraId="035B3E53" w14:textId="374E1551" w:rsidR="402D128B" w:rsidRDefault="402D128B" w:rsidP="3C027AF9">
      <w:pPr>
        <w:jc w:val="both"/>
        <w:rPr>
          <w:rFonts w:eastAsia="Arial"/>
          <w:color w:val="000000" w:themeColor="text1"/>
        </w:rPr>
      </w:pPr>
      <w:r w:rsidRPr="3C027AF9">
        <w:rPr>
          <w:rFonts w:eastAsia="Arial"/>
          <w:color w:val="000000" w:themeColor="text1"/>
        </w:rPr>
        <w:t>(5) Der Auftragnehmer hat seine Leistungen entsprechend den anerkannten Regeln der Technik sowie in Übereinstimmung mit den einschlägigen Bestimmungen des öffentlichen Rechts und der ihm bekannten (fortgeschriebenen) Zielvorstellungen der Auftraggeberin zu erbringen. Die Auftraggeberin hat seine Leistungen außerdem in möglichst wirtschaftlicher Weise zu erbringen. Dies bedeutet insbesondere, dass sämtliche Leistungen im Rahmen der sonstigen Vorgaben und Zielvorstellungen der Auftraggeberin sowie des technisch und rechtlich Möglichen mit dem Ziel größtmöglicher Kosteneinsparung sowohl bei der Errichtung des Bauvorhabens, als auch bei der späteren Nutzung zu erbringen sind.</w:t>
      </w:r>
    </w:p>
    <w:p w14:paraId="49B5ED0D" w14:textId="24C4D555" w:rsidR="402D128B" w:rsidRDefault="402D128B" w:rsidP="3C027AF9">
      <w:pPr>
        <w:jc w:val="both"/>
        <w:rPr>
          <w:rFonts w:eastAsia="Arial"/>
          <w:color w:val="000000" w:themeColor="text1"/>
        </w:rPr>
      </w:pPr>
      <w:r w:rsidRPr="3C027AF9">
        <w:rPr>
          <w:rFonts w:eastAsia="Arial"/>
          <w:color w:val="000000" w:themeColor="text1"/>
        </w:rPr>
        <w:t xml:space="preserve">Entstehen Widersprüche zwischen verschiedenen Zielvorstellungen der Auftraggeberin, zwischen den Zielvorstellungen der Auftraggeberin und den anerkannten Regeln der Technik, oder aber zwischen den anerkannten Regeln der Technik und dem (neuesten) Stand der Technik bzw. der Wissenschaft, hat der Auftragnehmer die Auftraggeberin entsprechend aufzuklären und zu unterrichten sowie Entscheidungshilfen zu geben und Entscheidungsalternativen zu formulieren. Die Entscheidung ist dann durch die Auftraggeberin zu treffen. Die von der Auftraggeberin vorgegebenen (fortgeschriebenen) Zielvorstellungen sind nur insoweit für den Auftragnehmer verbindlich, als sie in sich widerspruchsfrei sind </w:t>
      </w:r>
      <w:r w:rsidRPr="3C027AF9">
        <w:rPr>
          <w:rFonts w:eastAsia="Arial"/>
          <w:color w:val="000000" w:themeColor="text1"/>
        </w:rPr>
        <w:lastRenderedPageBreak/>
        <w:t>und auch nicht im Widerspruch zu den anerkannten Regeln der Technik bzw. zu zwingenden öffentlich rechtlichen Bestimmungen stehen.</w:t>
      </w:r>
    </w:p>
    <w:p w14:paraId="20146CAD" w14:textId="5AD94C21" w:rsidR="3C027AF9" w:rsidRPr="00075444" w:rsidRDefault="402D128B" w:rsidP="3C027AF9">
      <w:pPr>
        <w:jc w:val="both"/>
      </w:pPr>
      <w:r w:rsidRPr="3C027AF9">
        <w:rPr>
          <w:rFonts w:eastAsia="Arial"/>
          <w:color w:val="000000" w:themeColor="text1"/>
        </w:rPr>
        <w:t>(6) Der Auftragnehmer ist verpflichtet, die ihm übertragenen Leistungen in eigener Person oder durch fest angestellte Mitarbeiter seines Büros zu erbringen. Die Beauftragung von freien Mitarbeitern hat er der Auftraggeberin unverzüglich anzuzeigen. Die Auftraggeberin ist berechtigt, der Beauftragung von Unterbeauftragten unverzüglich zu widersprechen, sofern der Widerspruch aus wichtigem Grunde gerechtfertigt ist. Soweit eine Unterbeauftragung seitens des Auftragnehmers nicht bereits in seinem Angebot ordnungsgemäß angegeben hat, bedarf die Beauftragung von Unterbeauftragten in jedem Fall der vorherigen, schriftlichen Zustimmung der Auftraggeberin.</w:t>
      </w:r>
    </w:p>
    <w:p w14:paraId="44ADD9B8" w14:textId="2491B40F" w:rsidR="791728DE" w:rsidRDefault="791728DE" w:rsidP="3C027AF9">
      <w:pPr>
        <w:pStyle w:val="H2"/>
        <w:jc w:val="both"/>
        <w:rPr>
          <w:rFonts w:eastAsia="Arial"/>
          <w:color w:val="000000" w:themeColor="text1"/>
        </w:rPr>
      </w:pPr>
      <w:r w:rsidRPr="3C027AF9">
        <w:rPr>
          <w:rFonts w:eastAsia="Arial"/>
          <w:color w:val="000000" w:themeColor="text1"/>
        </w:rPr>
        <w:t xml:space="preserve">§ 6 </w:t>
      </w:r>
      <w:r w:rsidR="48F87FE1" w:rsidRPr="3C027AF9">
        <w:rPr>
          <w:rFonts w:eastAsia="Arial"/>
          <w:color w:val="000000" w:themeColor="text1"/>
        </w:rPr>
        <w:t>Sonstige</w:t>
      </w:r>
      <w:r w:rsidRPr="3C027AF9">
        <w:rPr>
          <w:rFonts w:eastAsia="Arial"/>
          <w:color w:val="000000" w:themeColor="text1"/>
        </w:rPr>
        <w:t xml:space="preserve"> Beteiligte</w:t>
      </w:r>
    </w:p>
    <w:p w14:paraId="22ED728F" w14:textId="7ACAB95F" w:rsidR="791728DE" w:rsidRDefault="791728DE" w:rsidP="3C027AF9">
      <w:pPr>
        <w:jc w:val="both"/>
        <w:rPr>
          <w:rFonts w:eastAsia="Arial"/>
          <w:color w:val="000000" w:themeColor="text1"/>
        </w:rPr>
      </w:pPr>
      <w:r w:rsidRPr="3C027AF9">
        <w:rPr>
          <w:rFonts w:eastAsia="Arial"/>
          <w:color w:val="000000" w:themeColor="text1"/>
        </w:rPr>
        <w:t>(1) Folgende Leistungen werden voraussichtlich von den nachstehend genannten Sonderfachleuten erbracht:</w:t>
      </w:r>
    </w:p>
    <w:p w14:paraId="41A0D581" w14:textId="5119E79D" w:rsidR="791728DE" w:rsidRDefault="791728DE" w:rsidP="3C027AF9">
      <w:pPr>
        <w:jc w:val="both"/>
        <w:rPr>
          <w:rFonts w:eastAsia="Arial"/>
          <w:color w:val="000000" w:themeColor="text1"/>
        </w:rPr>
      </w:pPr>
      <w:r w:rsidRPr="3C027AF9">
        <w:rPr>
          <w:rFonts w:eastAsia="Arial"/>
          <w:color w:val="000000" w:themeColor="text1"/>
        </w:rPr>
        <w:t>1. Leistung: Objektplanung - Ingenieurbauwerke; Objektplaner:</w:t>
      </w:r>
      <w:r w:rsidRPr="3C027AF9">
        <w:rPr>
          <w:rFonts w:eastAsia="Arial"/>
          <w:color w:val="000000" w:themeColor="text1"/>
          <w:highlight w:val="lightGray"/>
        </w:rPr>
        <w:t xml:space="preserve"> </w:t>
      </w:r>
      <w:r w:rsidRPr="3C027AF9">
        <w:rPr>
          <w:rFonts w:eastAsia="Arial"/>
          <w:color w:val="000000" w:themeColor="text1"/>
          <w:highlight w:val="lightGray"/>
          <w:u w:val="single"/>
        </w:rPr>
        <w:t xml:space="preserve">                        </w:t>
      </w:r>
    </w:p>
    <w:p w14:paraId="62D7734C" w14:textId="59A7C129" w:rsidR="791728DE" w:rsidRDefault="791728DE" w:rsidP="3C027AF9">
      <w:pPr>
        <w:jc w:val="both"/>
        <w:rPr>
          <w:rFonts w:eastAsia="Arial"/>
          <w:color w:val="000000" w:themeColor="text1"/>
        </w:rPr>
      </w:pPr>
      <w:r w:rsidRPr="3C027AF9">
        <w:rPr>
          <w:rFonts w:eastAsia="Arial"/>
          <w:color w:val="000000" w:themeColor="text1"/>
        </w:rPr>
        <w:t xml:space="preserve">2.  </w:t>
      </w:r>
      <w:r w:rsidRPr="3C027AF9">
        <w:rPr>
          <w:rFonts w:eastAsia="Arial"/>
          <w:color w:val="000000" w:themeColor="text1"/>
          <w:highlight w:val="lightGray"/>
          <w:u w:val="single"/>
        </w:rPr>
        <w:t xml:space="preserve">                                            </w:t>
      </w:r>
      <w:r w:rsidRPr="3C027AF9">
        <w:rPr>
          <w:rFonts w:eastAsia="Arial"/>
          <w:color w:val="000000" w:themeColor="text1"/>
        </w:rPr>
        <w:t xml:space="preserve">     </w:t>
      </w:r>
    </w:p>
    <w:p w14:paraId="3D1B2B4B" w14:textId="77513B5D" w:rsidR="21B9E49D" w:rsidRDefault="21B9E49D" w:rsidP="3C027AF9">
      <w:pPr>
        <w:jc w:val="both"/>
      </w:pPr>
      <w:r w:rsidRPr="3C027AF9">
        <w:rPr>
          <w:rFonts w:eastAsia="Arial"/>
          <w:color w:val="000000" w:themeColor="text1"/>
        </w:rPr>
        <w:t xml:space="preserve">(2) Der Auftragnehmer muss bei seiner Planung die Leistungen anderer fachlich Beteiligter berücksichtigen. Er muss darüber hinaus die für die rechtzeitige und vollständige sowie mängelfreie Erbringung seiner eigenen Leistungen erforderlichen Angaben, Auskünfte, Planungsleistungen etc. der anderen fachlich Beteiligten rechtzeitig anfordern, gegebenenfalls über </w:t>
      </w:r>
      <w:r w:rsidR="005D1C27">
        <w:rPr>
          <w:rFonts w:eastAsia="Arial"/>
          <w:color w:val="000000" w:themeColor="text1"/>
        </w:rPr>
        <w:t>die AG</w:t>
      </w:r>
      <w:r w:rsidRPr="3C027AF9">
        <w:rPr>
          <w:rFonts w:eastAsia="Arial"/>
          <w:color w:val="000000" w:themeColor="text1"/>
        </w:rPr>
        <w:t>. Das schließt die rechtzeitige Übergabe eigener Leistungen und Leistungsinhalte oder deren Erläuterung ein, die notwendig sind, damit die anderen Beteiligten die Planung ihrer Leistungen rechtzeitig und mangelfrei</w:t>
      </w:r>
      <w:r w:rsidR="576C8FBD" w:rsidRPr="3C027AF9">
        <w:rPr>
          <w:rFonts w:eastAsia="Arial"/>
          <w:color w:val="000000" w:themeColor="text1"/>
        </w:rPr>
        <w:t xml:space="preserve"> </w:t>
      </w:r>
      <w:r w:rsidRPr="3C027AF9">
        <w:rPr>
          <w:rFonts w:eastAsia="Arial"/>
          <w:color w:val="000000" w:themeColor="text1"/>
        </w:rPr>
        <w:t xml:space="preserve">erbringen können.  </w:t>
      </w:r>
      <w:r w:rsidRPr="3C027AF9">
        <w:rPr>
          <w:rFonts w:ascii="Roboto" w:eastAsia="Roboto" w:hAnsi="Roboto" w:cs="Roboto"/>
          <w:sz w:val="25"/>
          <w:szCs w:val="25"/>
        </w:rPr>
        <w:t xml:space="preserve"> </w:t>
      </w:r>
    </w:p>
    <w:p w14:paraId="4174B605" w14:textId="69424F60" w:rsidR="7E724924" w:rsidRDefault="7E724924" w:rsidP="3C027AF9">
      <w:pPr>
        <w:pStyle w:val="H2"/>
        <w:jc w:val="both"/>
        <w:rPr>
          <w:rFonts w:eastAsia="Arial"/>
          <w:color w:val="000000" w:themeColor="text1"/>
        </w:rPr>
      </w:pPr>
      <w:r w:rsidRPr="3C027AF9">
        <w:rPr>
          <w:rFonts w:eastAsia="Arial"/>
          <w:color w:val="000000" w:themeColor="text1"/>
        </w:rPr>
        <w:t>§ 7 Ausführungsfristen</w:t>
      </w:r>
    </w:p>
    <w:p w14:paraId="35DE324E" w14:textId="248626B9" w:rsidR="7E724924" w:rsidRDefault="7E724924" w:rsidP="3C027AF9">
      <w:pPr>
        <w:jc w:val="both"/>
        <w:rPr>
          <w:rFonts w:eastAsia="Arial"/>
          <w:color w:val="000000" w:themeColor="text1"/>
        </w:rPr>
      </w:pPr>
      <w:r w:rsidRPr="3C027AF9">
        <w:rPr>
          <w:rFonts w:eastAsia="Arial"/>
          <w:color w:val="000000" w:themeColor="text1"/>
        </w:rPr>
        <w:t xml:space="preserve">(1) Der AN ist verpflichtet, seine Leistungen so zu erbringen, insbesondere so zu planen, dass die vertraglich vereinbarte und während der Projektverwirklichung fortgeschriebene Zielvorstellung </w:t>
      </w:r>
      <w:r w:rsidR="005D1C27">
        <w:rPr>
          <w:rFonts w:eastAsia="Arial"/>
          <w:color w:val="000000" w:themeColor="text1"/>
        </w:rPr>
        <w:t>der AG</w:t>
      </w:r>
      <w:r w:rsidR="151E8C89" w:rsidRPr="3C027AF9">
        <w:rPr>
          <w:rFonts w:eastAsia="Arial"/>
          <w:color w:val="000000" w:themeColor="text1"/>
        </w:rPr>
        <w:t xml:space="preserve"> sowie die aufgestellte Projektablauf- und Terminablaufplanung </w:t>
      </w:r>
      <w:r w:rsidRPr="3C027AF9">
        <w:rPr>
          <w:rFonts w:eastAsia="Arial"/>
          <w:color w:val="000000" w:themeColor="text1"/>
        </w:rPr>
        <w:t>eingehalten wird.</w:t>
      </w:r>
    </w:p>
    <w:p w14:paraId="5B76EDF9" w14:textId="37D2B56B" w:rsidR="7E724924" w:rsidRDefault="7E724924" w:rsidP="3C027AF9">
      <w:pPr>
        <w:jc w:val="both"/>
      </w:pPr>
      <w:r w:rsidRPr="3C027AF9">
        <w:rPr>
          <w:rFonts w:eastAsia="Arial"/>
          <w:color w:val="000000" w:themeColor="text1"/>
        </w:rPr>
        <w:t>(2) Der Auftragnehmer hat die beauftragten Planungsleistungen der Leistungsphasen 2-3 (Grundleistungen) bis spätestens bis zum 30.07.2026 zu erbringen. Diese Frist gilt als verbindliche Vertragsfrist.</w:t>
      </w:r>
    </w:p>
    <w:p w14:paraId="620C7D27" w14:textId="15AD6C36" w:rsidR="0BCFA6AB" w:rsidRDefault="0BCFA6AB" w:rsidP="3C027AF9">
      <w:pPr>
        <w:jc w:val="both"/>
        <w:rPr>
          <w:rFonts w:eastAsia="Arial"/>
        </w:rPr>
      </w:pPr>
      <w:r w:rsidRPr="3C027AF9">
        <w:rPr>
          <w:rFonts w:eastAsia="Arial"/>
          <w:color w:val="000000" w:themeColor="text1"/>
        </w:rPr>
        <w:t xml:space="preserve">(3) Glaubt sich der AN in der ordnungsgemäßen Ausführung der Leistung behindert, so hat er dies </w:t>
      </w:r>
      <w:r w:rsidR="005D1C27">
        <w:rPr>
          <w:rFonts w:eastAsia="Arial"/>
          <w:color w:val="000000" w:themeColor="text1"/>
        </w:rPr>
        <w:t>der AG</w:t>
      </w:r>
      <w:r w:rsidRPr="3C027AF9">
        <w:rPr>
          <w:rFonts w:eastAsia="Arial"/>
          <w:color w:val="000000" w:themeColor="text1"/>
        </w:rPr>
        <w:t xml:space="preserve"> unverzüglich schriftlich anzuzeigen. Unterlässt er die Anzeige, so hat er nur dann Anspruch auf Berücksichtigung der hindernden Umstände, wenn </w:t>
      </w:r>
      <w:r w:rsidR="005D1C27">
        <w:rPr>
          <w:rFonts w:eastAsia="Arial"/>
          <w:color w:val="000000" w:themeColor="text1"/>
        </w:rPr>
        <w:t>die AG</w:t>
      </w:r>
      <w:r w:rsidRPr="3C027AF9">
        <w:rPr>
          <w:rFonts w:eastAsia="Arial"/>
          <w:color w:val="000000" w:themeColor="text1"/>
        </w:rPr>
        <w:t xml:space="preserve"> die Tatsache und deren hindernde Wirkung bekannt waren. Darüber hinaus kann der AN sich auf Behinderungsumstände nur dann berufen, wenn diese aus dem Risikobereich </w:t>
      </w:r>
      <w:r w:rsidR="005D1C27">
        <w:rPr>
          <w:rFonts w:eastAsia="Arial"/>
          <w:color w:val="000000" w:themeColor="text1"/>
        </w:rPr>
        <w:t>der AG</w:t>
      </w:r>
      <w:r w:rsidRPr="3C027AF9">
        <w:rPr>
          <w:rFonts w:eastAsia="Arial"/>
          <w:color w:val="000000" w:themeColor="text1"/>
        </w:rPr>
        <w:t xml:space="preserve"> stammen oder durch höhere Gewalt oder andere für den AN unabwendbare Umstände verursacht waren.</w:t>
      </w:r>
    </w:p>
    <w:p w14:paraId="57988C1B" w14:textId="0A48E92D" w:rsidR="0BCFA6AB" w:rsidRDefault="0BCFA6AB" w:rsidP="3C027AF9">
      <w:pPr>
        <w:pStyle w:val="H2"/>
        <w:jc w:val="both"/>
        <w:rPr>
          <w:rFonts w:eastAsia="Arial"/>
          <w:color w:val="000000" w:themeColor="text1"/>
        </w:rPr>
      </w:pPr>
      <w:r w:rsidRPr="3C027AF9">
        <w:rPr>
          <w:rFonts w:eastAsia="Arial"/>
          <w:color w:val="000000" w:themeColor="text1"/>
        </w:rPr>
        <w:t>§ </w:t>
      </w:r>
      <w:r w:rsidR="785EA664" w:rsidRPr="3C027AF9">
        <w:rPr>
          <w:rFonts w:eastAsia="Arial"/>
          <w:color w:val="000000" w:themeColor="text1"/>
        </w:rPr>
        <w:t>8</w:t>
      </w:r>
      <w:r w:rsidRPr="3C027AF9">
        <w:rPr>
          <w:rFonts w:eastAsia="Arial"/>
          <w:color w:val="000000" w:themeColor="text1"/>
        </w:rPr>
        <w:t xml:space="preserve"> Honorar</w:t>
      </w:r>
    </w:p>
    <w:p w14:paraId="6EF7AFAA" w14:textId="106FB8B0" w:rsidR="0BCFA6AB" w:rsidRDefault="0BCFA6AB" w:rsidP="3C027AF9">
      <w:pPr>
        <w:jc w:val="both"/>
        <w:rPr>
          <w:rFonts w:eastAsia="Arial"/>
          <w:color w:val="000000" w:themeColor="text1"/>
        </w:rPr>
      </w:pPr>
      <w:r w:rsidRPr="3C027AF9">
        <w:rPr>
          <w:rFonts w:eastAsia="Arial"/>
          <w:color w:val="000000" w:themeColor="text1"/>
        </w:rPr>
        <w:t>(1) Die Parteien treffen die sich aus den nachfolgenden Bestimmungen ergebende Honorarvereinbarung.</w:t>
      </w:r>
    </w:p>
    <w:p w14:paraId="284EBCBA" w14:textId="1AB24DC4" w:rsidR="0BCFA6AB" w:rsidRDefault="0BCFA6AB" w:rsidP="3C027AF9">
      <w:pPr>
        <w:jc w:val="both"/>
        <w:rPr>
          <w:rFonts w:eastAsia="Arial"/>
          <w:color w:val="000000" w:themeColor="text1"/>
        </w:rPr>
      </w:pPr>
      <w:r w:rsidRPr="3C027AF9">
        <w:rPr>
          <w:rFonts w:eastAsia="Arial"/>
          <w:color w:val="000000" w:themeColor="text1"/>
        </w:rPr>
        <w:t>(2) Die Parteien vereinbaren eine Honorierung der vom AN erbrachten Leistungen mit Ausnahme der Besonderen Leistungen (hierzu nachfolgend § </w:t>
      </w:r>
      <w:r w:rsidR="2B3D7542" w:rsidRPr="3C027AF9">
        <w:rPr>
          <w:rFonts w:eastAsia="Arial"/>
          <w:color w:val="000000" w:themeColor="text1"/>
        </w:rPr>
        <w:t>8</w:t>
      </w:r>
      <w:r w:rsidRPr="3C027AF9">
        <w:rPr>
          <w:rFonts w:eastAsia="Arial"/>
          <w:color w:val="000000" w:themeColor="text1"/>
        </w:rPr>
        <w:t>.4) nach den Honorarermittlungsgrundlagen der HOAI.</w:t>
      </w:r>
    </w:p>
    <w:p w14:paraId="2E2C8A1F" w14:textId="046EA1B3" w:rsidR="0021623B" w:rsidRPr="00075444" w:rsidRDefault="0BCFA6AB" w:rsidP="0021623B">
      <w:pPr>
        <w:jc w:val="both"/>
        <w:rPr>
          <w:rFonts w:eastAsia="Arial"/>
          <w:color w:val="000000" w:themeColor="text1"/>
        </w:rPr>
      </w:pPr>
      <w:r w:rsidRPr="3C027AF9">
        <w:rPr>
          <w:rFonts w:eastAsia="Arial"/>
          <w:color w:val="000000" w:themeColor="text1"/>
        </w:rPr>
        <w:t>(3) Die vereinbarten Grundleistungen werden mit folgenden Prozentsätzen des nach § 51 Abs. 1 HOAI berechneten, hier vereinbarten Gesamthonorars vergütet:</w:t>
      </w:r>
    </w:p>
    <w:p w14:paraId="7DBB9615" w14:textId="77777777" w:rsidR="0021623B" w:rsidRDefault="0021623B" w:rsidP="0021623B">
      <w:pPr>
        <w:jc w:val="both"/>
      </w:pPr>
      <w:r>
        <w:t>Leistungsphase 2, Vorplanung: 10%</w:t>
      </w:r>
    </w:p>
    <w:p w14:paraId="2079A721" w14:textId="1A578605" w:rsidR="0021623B" w:rsidRDefault="0021623B" w:rsidP="0021623B">
      <w:pPr>
        <w:jc w:val="both"/>
      </w:pPr>
      <w:r>
        <w:t>Leistungsphase 3, Entwurfsplanung: 15%</w:t>
      </w:r>
    </w:p>
    <w:p w14:paraId="760D6E6F" w14:textId="4866368D" w:rsidR="0021623B" w:rsidRDefault="0021623B" w:rsidP="0021623B">
      <w:pPr>
        <w:jc w:val="both"/>
      </w:pPr>
      <w:r>
        <w:t>Leistungsphase 4, Genehmigungsplanung: 30%</w:t>
      </w:r>
    </w:p>
    <w:p w14:paraId="7C52832B" w14:textId="7084B133" w:rsidR="0021623B" w:rsidRDefault="0021623B" w:rsidP="0021623B">
      <w:pPr>
        <w:jc w:val="both"/>
      </w:pPr>
      <w:r>
        <w:t>Leistungsphase 5, Ausführungsplanung: 40%</w:t>
      </w:r>
    </w:p>
    <w:p w14:paraId="047F09BA" w14:textId="7192053F" w:rsidR="0021623B" w:rsidRDefault="0021623B" w:rsidP="0021623B">
      <w:pPr>
        <w:jc w:val="both"/>
      </w:pPr>
      <w:r>
        <w:t>Leistungsphase 6, Vorbereitung der Vergabe: 2%</w:t>
      </w:r>
    </w:p>
    <w:p w14:paraId="758D2527" w14:textId="39AC3976" w:rsidR="25762DD6" w:rsidRDefault="25762DD6" w:rsidP="3C027AF9">
      <w:pPr>
        <w:jc w:val="both"/>
        <w:rPr>
          <w:rFonts w:eastAsia="Arial"/>
          <w:color w:val="000000" w:themeColor="text1"/>
        </w:rPr>
      </w:pPr>
      <w:r w:rsidRPr="3C027AF9">
        <w:rPr>
          <w:rFonts w:eastAsia="Arial"/>
          <w:color w:val="000000" w:themeColor="text1"/>
        </w:rPr>
        <w:lastRenderedPageBreak/>
        <w:t>sowie nach dem gegebenenfalls vereinbarten Nachlass.</w:t>
      </w:r>
    </w:p>
    <w:p w14:paraId="7DC6E4E5" w14:textId="56C442A4" w:rsidR="25762DD6" w:rsidRDefault="25762DD6" w:rsidP="3C027AF9">
      <w:pPr>
        <w:jc w:val="both"/>
        <w:rPr>
          <w:rFonts w:eastAsia="Arial"/>
          <w:color w:val="000000" w:themeColor="text1"/>
        </w:rPr>
      </w:pPr>
      <w:r w:rsidRPr="3C027AF9">
        <w:rPr>
          <w:rFonts w:eastAsia="Arial"/>
          <w:color w:val="000000" w:themeColor="text1"/>
        </w:rPr>
        <w:t xml:space="preserve">Der Auftragnehmer erhält für seine Leistungen ein Honorar, das entsprechend des Preisblattes </w:t>
      </w:r>
      <w:r w:rsidRPr="3C027AF9">
        <w:rPr>
          <w:rFonts w:eastAsia="Arial"/>
          <w:color w:val="000000" w:themeColor="text1"/>
          <w:highlight w:val="lightGray"/>
        </w:rPr>
        <w:t>[I</w:t>
      </w:r>
      <w:r w:rsidRPr="3C027AF9">
        <w:rPr>
          <w:rFonts w:eastAsia="Arial"/>
          <w:i/>
          <w:iCs/>
          <w:color w:val="000000" w:themeColor="text1"/>
          <w:highlight w:val="lightGray"/>
        </w:rPr>
        <w:t>m</w:t>
      </w:r>
      <w:r w:rsidRPr="3C027AF9">
        <w:rPr>
          <w:rFonts w:eastAsia="Arial"/>
          <w:color w:val="000000" w:themeColor="text1"/>
          <w:highlight w:val="lightGray"/>
        </w:rPr>
        <w:t xml:space="preserve"> </w:t>
      </w:r>
      <w:r w:rsidRPr="3C027AF9">
        <w:rPr>
          <w:rFonts w:eastAsia="Arial"/>
          <w:i/>
          <w:iCs/>
          <w:color w:val="000000" w:themeColor="text1"/>
          <w:highlight w:val="lightGray"/>
        </w:rPr>
        <w:t>Falle eines Kombinationsangebotes zu ergänzen</w:t>
      </w:r>
      <w:r w:rsidRPr="3C027AF9">
        <w:rPr>
          <w:rFonts w:eastAsia="Arial"/>
          <w:color w:val="000000" w:themeColor="text1"/>
          <w:highlight w:val="lightGray"/>
        </w:rPr>
        <w:t>: sowie des Preisblattes (Kombinationsangebot)]</w:t>
      </w:r>
      <w:r w:rsidRPr="3C027AF9">
        <w:rPr>
          <w:rFonts w:eastAsia="Arial"/>
          <w:color w:val="000000" w:themeColor="text1"/>
        </w:rPr>
        <w:t>, s. Anlage 3, für die Grundleistungen vereinbart ist.</w:t>
      </w:r>
    </w:p>
    <w:p w14:paraId="50D3E95F" w14:textId="2A3B09BE" w:rsidR="25762DD6" w:rsidRDefault="25762DD6" w:rsidP="3C027AF9">
      <w:pPr>
        <w:jc w:val="both"/>
        <w:rPr>
          <w:rFonts w:eastAsia="Arial"/>
          <w:color w:val="000000" w:themeColor="text1"/>
        </w:rPr>
      </w:pPr>
      <w:r w:rsidRPr="3C027AF9">
        <w:rPr>
          <w:rFonts w:eastAsia="Arial"/>
          <w:color w:val="000000" w:themeColor="text1"/>
        </w:rPr>
        <w:t>a) Die prozentuale Bewertung der beauftragten Leistungen ergibt sich aus § 51 Abs. 1, 5 HOAI iVm § 8 Abs. 2 HOAI. Die Vertragsparteien sind sich einig, dass die Bewertung der einzelnen Leistungen einer Leistungsphase (§ 8 HOAI) auf Grundlage der sogenannten SIEMON-Bewertungstabelle erfolgt.</w:t>
      </w:r>
    </w:p>
    <w:p w14:paraId="458AE9AD" w14:textId="43F12548" w:rsidR="25762DD6" w:rsidRDefault="25762DD6" w:rsidP="3C027AF9">
      <w:pPr>
        <w:jc w:val="both"/>
        <w:rPr>
          <w:rFonts w:eastAsia="Arial"/>
          <w:color w:val="000000" w:themeColor="text1"/>
        </w:rPr>
      </w:pPr>
      <w:r w:rsidRPr="3C027AF9">
        <w:rPr>
          <w:rFonts w:eastAsia="Arial"/>
          <w:color w:val="000000" w:themeColor="text1"/>
        </w:rPr>
        <w:t>b) Der Honorarermittlung werden die folgenden anrechenbaren Kosten zugrunde gelegt:</w:t>
      </w:r>
    </w:p>
    <w:p w14:paraId="673CAD26" w14:textId="5F6E6EA0" w:rsidR="6A3A03F9" w:rsidRDefault="6A3A03F9" w:rsidP="3C027AF9">
      <w:pPr>
        <w:ind w:left="720"/>
        <w:jc w:val="both"/>
        <w:rPr>
          <w:rFonts w:eastAsia="Arial"/>
          <w:color w:val="000000" w:themeColor="text1"/>
        </w:rPr>
      </w:pPr>
      <w:r w:rsidRPr="3C027AF9">
        <w:rPr>
          <w:rFonts w:eastAsia="Arial"/>
          <w:color w:val="000000" w:themeColor="text1"/>
        </w:rPr>
        <w:t>1.680.672,27 €</w:t>
      </w:r>
      <w:r w:rsidR="25762DD6" w:rsidRPr="3C027AF9">
        <w:rPr>
          <w:rFonts w:eastAsia="Arial"/>
          <w:color w:val="000000" w:themeColor="text1"/>
        </w:rPr>
        <w:t xml:space="preserve"> (</w:t>
      </w:r>
      <w:r w:rsidR="6F6D982F" w:rsidRPr="3C027AF9">
        <w:rPr>
          <w:rFonts w:eastAsia="Arial"/>
          <w:color w:val="000000" w:themeColor="text1"/>
        </w:rPr>
        <w:t xml:space="preserve">75 % der </w:t>
      </w:r>
      <w:r w:rsidR="25762DD6" w:rsidRPr="3C027AF9">
        <w:rPr>
          <w:rFonts w:eastAsia="Arial"/>
          <w:color w:val="000000" w:themeColor="text1"/>
        </w:rPr>
        <w:t>Kostengruppe 300)</w:t>
      </w:r>
    </w:p>
    <w:p w14:paraId="5B597688" w14:textId="44783B78" w:rsidR="25762DD6" w:rsidRDefault="25762DD6" w:rsidP="3C027AF9">
      <w:pPr>
        <w:jc w:val="both"/>
        <w:rPr>
          <w:rFonts w:eastAsia="Arial"/>
          <w:color w:val="000000" w:themeColor="text1"/>
        </w:rPr>
      </w:pPr>
      <w:r w:rsidRPr="3C027AF9">
        <w:rPr>
          <w:rFonts w:eastAsia="Arial"/>
          <w:color w:val="000000" w:themeColor="text1"/>
        </w:rPr>
        <w:t xml:space="preserve">Soweit sich im Rahmen der Leistungsphase 3 auf </w:t>
      </w:r>
      <w:r w:rsidR="3EBA28F2" w:rsidRPr="3C027AF9">
        <w:rPr>
          <w:rFonts w:eastAsia="Arial"/>
          <w:color w:val="000000" w:themeColor="text1"/>
        </w:rPr>
        <w:t>Grundlage</w:t>
      </w:r>
      <w:r w:rsidRPr="3C027AF9">
        <w:rPr>
          <w:rFonts w:eastAsia="Arial"/>
          <w:color w:val="000000" w:themeColor="text1"/>
        </w:rPr>
        <w:t xml:space="preserve"> der </w:t>
      </w:r>
      <w:r w:rsidR="3587691D" w:rsidRPr="3C027AF9">
        <w:rPr>
          <w:rFonts w:eastAsia="Arial"/>
          <w:color w:val="000000" w:themeColor="text1"/>
        </w:rPr>
        <w:t xml:space="preserve">vom Objektplaner </w:t>
      </w:r>
      <w:r w:rsidRPr="3C027AF9">
        <w:rPr>
          <w:rFonts w:eastAsia="Arial"/>
          <w:color w:val="000000" w:themeColor="text1"/>
        </w:rPr>
        <w:t xml:space="preserve">erstellten und vom AG freigegebenen Entwurfsplanung eine abweichende Kostenberechnung ergibt, erfolgt eine entsprechende Anpassung. </w:t>
      </w:r>
    </w:p>
    <w:p w14:paraId="3232B931" w14:textId="5B5DE788" w:rsidR="25762DD6" w:rsidRDefault="25762DD6" w:rsidP="3C027AF9">
      <w:pPr>
        <w:jc w:val="both"/>
        <w:rPr>
          <w:rFonts w:eastAsia="Arial"/>
          <w:color w:val="000000" w:themeColor="text1"/>
        </w:rPr>
      </w:pPr>
      <w:r w:rsidRPr="3C027AF9">
        <w:rPr>
          <w:rFonts w:eastAsia="Arial"/>
          <w:color w:val="000000" w:themeColor="text1"/>
        </w:rPr>
        <w:t xml:space="preserve">c) </w:t>
      </w:r>
      <w:r w:rsidR="66869229" w:rsidRPr="3C027AF9">
        <w:rPr>
          <w:rFonts w:eastAsia="Arial"/>
          <w:color w:val="000000" w:themeColor="text1"/>
        </w:rPr>
        <w:t>Die Tragwerksplanung für das</w:t>
      </w:r>
      <w:r w:rsidRPr="3C027AF9">
        <w:rPr>
          <w:rFonts w:eastAsia="Arial"/>
          <w:color w:val="000000" w:themeColor="text1"/>
        </w:rPr>
        <w:t xml:space="preserve"> Ingenieurbauwerk wird der Honorarzone IV zugeordnet.</w:t>
      </w:r>
    </w:p>
    <w:p w14:paraId="0B7E8A3A" w14:textId="3FE7E43C" w:rsidR="25762DD6" w:rsidRDefault="25762DD6" w:rsidP="3C027AF9">
      <w:pPr>
        <w:jc w:val="both"/>
        <w:rPr>
          <w:rFonts w:eastAsia="Arial"/>
          <w:color w:val="000000" w:themeColor="text1"/>
        </w:rPr>
      </w:pPr>
      <w:r w:rsidRPr="3C027AF9">
        <w:rPr>
          <w:rFonts w:eastAsia="Arial"/>
          <w:color w:val="000000" w:themeColor="text1"/>
        </w:rPr>
        <w:t xml:space="preserve">Sollte sich während der Planung und Realisierung der Baumaßnahme herausstellen, dass die angesetzte Honorarzone unter Ermessensgesichtspunkten zu hoch vereinbart worden ist, besteht zwischen den Parteien Einvernehmen, dass dann die objektiv einschlägige, niedrigere Honorarzone als vertraglich vereinbart gilt, wobei die Vergütung dann auch mit dem in nachfolgendem § </w:t>
      </w:r>
      <w:r w:rsidR="02C17730" w:rsidRPr="3C027AF9">
        <w:rPr>
          <w:rFonts w:eastAsia="Arial"/>
          <w:color w:val="000000" w:themeColor="text1"/>
        </w:rPr>
        <w:t>8</w:t>
      </w:r>
      <w:r w:rsidRPr="3C027AF9">
        <w:rPr>
          <w:rFonts w:eastAsia="Arial"/>
          <w:color w:val="000000" w:themeColor="text1"/>
        </w:rPr>
        <w:t xml:space="preserve">.3d) vereinbarten Honorarsatz erfolgt. Die übrigen vereinbarten Honorarparameter nach diesem Vertrag bleiben ebenfalls unberührt. Das Gleiche gilt, wenn sich unter den genannten Voraussetzungen herausstellt, dass die vereinbarte Honorarzone unter Ermessensgesichtspunkten zu niedrig vereinbart wurde. Auch dann gilt die objektiv einschlägige Honorarzone als vereinbart, wobei die Vergütung dann auch mit dem in nachfolgendem § </w:t>
      </w:r>
      <w:r w:rsidR="0FB48315" w:rsidRPr="3C027AF9">
        <w:rPr>
          <w:rFonts w:eastAsia="Arial"/>
          <w:color w:val="000000" w:themeColor="text1"/>
        </w:rPr>
        <w:t>8</w:t>
      </w:r>
      <w:r w:rsidRPr="3C027AF9">
        <w:rPr>
          <w:rFonts w:eastAsia="Arial"/>
          <w:color w:val="000000" w:themeColor="text1"/>
        </w:rPr>
        <w:t>.3d) vereinbarten Honorarsatz erfolgt. Die übrigen vereinbarten Honorarparameter nach diesem Vertrag bleiben ebenfalls unberührt.</w:t>
      </w:r>
    </w:p>
    <w:p w14:paraId="6E7BF5EF" w14:textId="56DA4F5D" w:rsidR="25762DD6" w:rsidRDefault="25762DD6" w:rsidP="3C027AF9">
      <w:pPr>
        <w:jc w:val="both"/>
        <w:rPr>
          <w:rFonts w:eastAsia="Arial"/>
          <w:color w:val="000000" w:themeColor="text1"/>
        </w:rPr>
      </w:pPr>
      <w:r w:rsidRPr="3C027AF9">
        <w:rPr>
          <w:rFonts w:eastAsia="Arial"/>
          <w:color w:val="000000" w:themeColor="text1"/>
        </w:rPr>
        <w:t xml:space="preserve">d) Folgender Honorarsatz wird vereinbart: </w:t>
      </w:r>
      <w:r w:rsidRPr="3C027AF9">
        <w:rPr>
          <w:rFonts w:eastAsia="Arial"/>
          <w:color w:val="000000" w:themeColor="text1"/>
          <w:highlight w:val="lightGray"/>
          <w:u w:val="single"/>
        </w:rPr>
        <w:t xml:space="preserve">                                </w:t>
      </w:r>
      <w:r w:rsidRPr="3C027AF9">
        <w:rPr>
          <w:rFonts w:eastAsia="Arial"/>
          <w:color w:val="000000" w:themeColor="text1"/>
          <w:highlight w:val="lightGray"/>
        </w:rPr>
        <w:t xml:space="preserve"> </w:t>
      </w:r>
      <w:r w:rsidRPr="3C027AF9">
        <w:rPr>
          <w:rFonts w:eastAsia="Arial"/>
          <w:color w:val="000000" w:themeColor="text1"/>
        </w:rPr>
        <w:t xml:space="preserve">                 </w:t>
      </w:r>
    </w:p>
    <w:p w14:paraId="1714CEA2" w14:textId="0C1E5792" w:rsidR="25762DD6" w:rsidRDefault="25762DD6" w:rsidP="3C027AF9">
      <w:pPr>
        <w:jc w:val="both"/>
        <w:rPr>
          <w:rFonts w:eastAsia="Arial"/>
          <w:color w:val="000000" w:themeColor="text1"/>
        </w:rPr>
      </w:pPr>
      <w:r w:rsidRPr="3C027AF9">
        <w:rPr>
          <w:rFonts w:eastAsia="Arial"/>
          <w:color w:val="000000" w:themeColor="text1"/>
        </w:rPr>
        <w:t>(4) Für die Vergütung der vom AN zu erbringenden Besonderen Leistungen werden folgende Honorarvereinbarungen getroffen:</w:t>
      </w:r>
    </w:p>
    <w:tbl>
      <w:tblPr>
        <w:tblStyle w:val="Tabellenraster"/>
        <w:tblW w:w="0" w:type="auto"/>
        <w:tblLook w:val="06A0" w:firstRow="1" w:lastRow="0" w:firstColumn="1" w:lastColumn="0" w:noHBand="1" w:noVBand="1"/>
      </w:tblPr>
      <w:tblGrid>
        <w:gridCol w:w="4530"/>
        <w:gridCol w:w="4530"/>
      </w:tblGrid>
      <w:tr w:rsidR="009A2448" w14:paraId="38166868" w14:textId="77777777" w:rsidTr="00D50F20">
        <w:trPr>
          <w:trHeight w:val="300"/>
        </w:trPr>
        <w:tc>
          <w:tcPr>
            <w:tcW w:w="4530" w:type="dxa"/>
          </w:tcPr>
          <w:p w14:paraId="7769AC4E" w14:textId="7307A966" w:rsidR="009A2448" w:rsidRDefault="009A2448" w:rsidP="00D50F20">
            <w:r w:rsidRPr="009A2448">
              <w:t>Vorläufige nachprüfbare Berechnung wesentlicher tragender Teile</w:t>
            </w:r>
            <w:r>
              <w:t xml:space="preserve"> (LPH 2)</w:t>
            </w:r>
          </w:p>
        </w:tc>
        <w:tc>
          <w:tcPr>
            <w:tcW w:w="4530" w:type="dxa"/>
          </w:tcPr>
          <w:p w14:paraId="2C04329C" w14:textId="1BEDA1C0" w:rsidR="009A2448" w:rsidRPr="00952F0F" w:rsidRDefault="009A2448" w:rsidP="00D50F20">
            <w:pPr>
              <w:rPr>
                <w:i/>
                <w:iCs/>
              </w:rPr>
            </w:pPr>
            <w:r w:rsidRPr="00952F0F">
              <w:rPr>
                <w:i/>
                <w:iCs/>
                <w:highlight w:val="lightGray"/>
              </w:rPr>
              <w:t>[angebotene Pauschale]</w:t>
            </w:r>
          </w:p>
        </w:tc>
      </w:tr>
      <w:tr w:rsidR="009A2448" w14:paraId="149CD4B5" w14:textId="77777777" w:rsidTr="00D50F20">
        <w:trPr>
          <w:trHeight w:val="300"/>
        </w:trPr>
        <w:tc>
          <w:tcPr>
            <w:tcW w:w="4530" w:type="dxa"/>
          </w:tcPr>
          <w:p w14:paraId="4EB04089" w14:textId="4751C4A3" w:rsidR="009A2448" w:rsidRDefault="009A2448" w:rsidP="00D50F20">
            <w:r w:rsidRPr="009A2448">
              <w:t xml:space="preserve">Vorläufige nachprüfbare Berechnung der Gründung </w:t>
            </w:r>
            <w:r>
              <w:t>(LPH 2)</w:t>
            </w:r>
          </w:p>
        </w:tc>
        <w:tc>
          <w:tcPr>
            <w:tcW w:w="4530" w:type="dxa"/>
          </w:tcPr>
          <w:p w14:paraId="5AA8B10B" w14:textId="594118B1" w:rsidR="009A2448" w:rsidRDefault="00952F0F" w:rsidP="00D50F20">
            <w:r w:rsidRPr="00952F0F">
              <w:rPr>
                <w:i/>
                <w:iCs/>
                <w:highlight w:val="lightGray"/>
              </w:rPr>
              <w:t>[angebotene Pauschale]</w:t>
            </w:r>
          </w:p>
        </w:tc>
      </w:tr>
      <w:tr w:rsidR="009A2448" w14:paraId="73F35111" w14:textId="77777777" w:rsidTr="00D50F20">
        <w:trPr>
          <w:trHeight w:val="300"/>
        </w:trPr>
        <w:tc>
          <w:tcPr>
            <w:tcW w:w="4530" w:type="dxa"/>
          </w:tcPr>
          <w:p w14:paraId="5F98D1D5" w14:textId="0A0161E7" w:rsidR="009A2448" w:rsidRDefault="009A2448" w:rsidP="00D50F20">
            <w:r w:rsidRPr="009A2448">
              <w:t>Vorgezogene Stahl- oder Holzmengenermittlung des Tragwerks und der kraftübertragenden Verbindungsteile für eine Ausschreibung, die ohne Vorliegen von Ausführungsunterlagen durchgeführt wird</w:t>
            </w:r>
            <w:r>
              <w:t xml:space="preserve"> (LPH 3)</w:t>
            </w:r>
          </w:p>
        </w:tc>
        <w:tc>
          <w:tcPr>
            <w:tcW w:w="4530" w:type="dxa"/>
          </w:tcPr>
          <w:p w14:paraId="04B6CD6C" w14:textId="5D3B21BC" w:rsidR="009A2448" w:rsidRDefault="00952F0F" w:rsidP="00D50F20">
            <w:r w:rsidRPr="00952F0F">
              <w:rPr>
                <w:i/>
                <w:iCs/>
                <w:highlight w:val="lightGray"/>
              </w:rPr>
              <w:t>[angebotene Pauschale]</w:t>
            </w:r>
            <w:r w:rsidR="009A2448">
              <w:t xml:space="preserve">  </w:t>
            </w:r>
          </w:p>
        </w:tc>
      </w:tr>
      <w:tr w:rsidR="009A2448" w14:paraId="0441B95E" w14:textId="77777777" w:rsidTr="00D50F20">
        <w:trPr>
          <w:trHeight w:val="300"/>
        </w:trPr>
        <w:tc>
          <w:tcPr>
            <w:tcW w:w="4530" w:type="dxa"/>
          </w:tcPr>
          <w:p w14:paraId="5879F927" w14:textId="4D5EDE3C" w:rsidR="009A2448" w:rsidRDefault="009A2448" w:rsidP="00D50F20">
            <w:r w:rsidRPr="009A2448">
              <w:t>Erfassen von Bauzuständen bei Ingenieurbauwerken, in denen das statische System von dem des Endzustands abweicht</w:t>
            </w:r>
            <w:r>
              <w:t xml:space="preserve"> (LPH 4)</w:t>
            </w:r>
          </w:p>
        </w:tc>
        <w:tc>
          <w:tcPr>
            <w:tcW w:w="4530" w:type="dxa"/>
          </w:tcPr>
          <w:p w14:paraId="5A58304C" w14:textId="07BC2819" w:rsidR="009A2448" w:rsidRDefault="00952F0F" w:rsidP="00D50F20">
            <w:r w:rsidRPr="00952F0F">
              <w:rPr>
                <w:i/>
                <w:iCs/>
                <w:highlight w:val="lightGray"/>
              </w:rPr>
              <w:t>[angebotene Pauschale]</w:t>
            </w:r>
          </w:p>
        </w:tc>
      </w:tr>
      <w:tr w:rsidR="009A2448" w14:paraId="21264717" w14:textId="77777777" w:rsidTr="00D50F20">
        <w:trPr>
          <w:trHeight w:val="300"/>
        </w:trPr>
        <w:tc>
          <w:tcPr>
            <w:tcW w:w="4530" w:type="dxa"/>
          </w:tcPr>
          <w:p w14:paraId="6870F1E2" w14:textId="17A3BB83" w:rsidR="009A2448" w:rsidRDefault="009A2448" w:rsidP="00D50F20">
            <w:r w:rsidRPr="009A2448">
              <w:t>Konstruktion und Nachweise der Anschlüsse im Stahl- und Holzbau</w:t>
            </w:r>
            <w:r>
              <w:t xml:space="preserve"> (LPH 5)</w:t>
            </w:r>
          </w:p>
        </w:tc>
        <w:tc>
          <w:tcPr>
            <w:tcW w:w="4530" w:type="dxa"/>
          </w:tcPr>
          <w:p w14:paraId="4FFC67C8" w14:textId="75598E64" w:rsidR="009A2448" w:rsidRDefault="00952F0F" w:rsidP="00D50F20">
            <w:r w:rsidRPr="00952F0F">
              <w:rPr>
                <w:i/>
                <w:iCs/>
                <w:highlight w:val="lightGray"/>
              </w:rPr>
              <w:t>[angebotene Pauschale]</w:t>
            </w:r>
          </w:p>
        </w:tc>
      </w:tr>
      <w:tr w:rsidR="009A2448" w14:paraId="25CCC109" w14:textId="77777777" w:rsidTr="00D50F20">
        <w:trPr>
          <w:trHeight w:val="300"/>
        </w:trPr>
        <w:tc>
          <w:tcPr>
            <w:tcW w:w="4530" w:type="dxa"/>
          </w:tcPr>
          <w:p w14:paraId="5481F241" w14:textId="16446C04" w:rsidR="009A2448" w:rsidRDefault="009A2448" w:rsidP="00D50F20">
            <w:r w:rsidRPr="009A2448">
              <w:t>Ingenieurtechnische Kontrolle der Ausführung des Tragwerks auf Übereinstimmung mit den geprüften statischen Unterlagen</w:t>
            </w:r>
            <w:r>
              <w:t xml:space="preserve"> (LPH 8)</w:t>
            </w:r>
          </w:p>
        </w:tc>
        <w:tc>
          <w:tcPr>
            <w:tcW w:w="4530" w:type="dxa"/>
          </w:tcPr>
          <w:p w14:paraId="18378A99" w14:textId="4C5C19DD" w:rsidR="009A2448" w:rsidRDefault="00952F0F" w:rsidP="00D50F20">
            <w:r w:rsidRPr="00952F0F">
              <w:rPr>
                <w:i/>
                <w:iCs/>
                <w:highlight w:val="lightGray"/>
              </w:rPr>
              <w:t>[angebotene Pauschale]</w:t>
            </w:r>
          </w:p>
        </w:tc>
      </w:tr>
      <w:tr w:rsidR="009A2448" w14:paraId="2BE14D6C" w14:textId="77777777" w:rsidTr="00D50F20">
        <w:trPr>
          <w:trHeight w:val="300"/>
        </w:trPr>
        <w:tc>
          <w:tcPr>
            <w:tcW w:w="4530" w:type="dxa"/>
          </w:tcPr>
          <w:p w14:paraId="3B164B9D" w14:textId="3A9432B6" w:rsidR="009A2448" w:rsidRDefault="009A2448" w:rsidP="00D50F20">
            <w:r w:rsidRPr="009A2448">
              <w:lastRenderedPageBreak/>
              <w:t>Ingenieurtechnische Kontrolle der Baubehelfe, zum Beispiel Arbeits- und Lehrgerüste, Kranbahnen, Baugrubensicherungen</w:t>
            </w:r>
            <w:r>
              <w:t xml:space="preserve"> </w:t>
            </w:r>
            <w:r w:rsidRPr="009A2448">
              <w:t>(LPH 8)</w:t>
            </w:r>
          </w:p>
        </w:tc>
        <w:tc>
          <w:tcPr>
            <w:tcW w:w="4530" w:type="dxa"/>
          </w:tcPr>
          <w:p w14:paraId="615F9B9A" w14:textId="67733521" w:rsidR="009A2448" w:rsidRDefault="00952F0F" w:rsidP="00D50F20">
            <w:r w:rsidRPr="00952F0F">
              <w:rPr>
                <w:i/>
                <w:iCs/>
                <w:highlight w:val="lightGray"/>
              </w:rPr>
              <w:t>[angebotene Pauschale]</w:t>
            </w:r>
          </w:p>
        </w:tc>
      </w:tr>
      <w:tr w:rsidR="009A2448" w14:paraId="0AE9009E" w14:textId="77777777" w:rsidTr="00D50F20">
        <w:trPr>
          <w:trHeight w:val="300"/>
        </w:trPr>
        <w:tc>
          <w:tcPr>
            <w:tcW w:w="4530" w:type="dxa"/>
          </w:tcPr>
          <w:p w14:paraId="7D63DFFA" w14:textId="60449ED1" w:rsidR="009A2448" w:rsidRDefault="009A2448" w:rsidP="00D50F20">
            <w:r w:rsidRPr="009A2448">
              <w:t>Kontrolle der Betonherstellung und -verarbeitung auf der Baustelle in besonderen Fällen sowie Auswertung der Güteprüfungen</w:t>
            </w:r>
            <w:r w:rsidR="00952F0F">
              <w:t xml:space="preserve"> </w:t>
            </w:r>
            <w:r w:rsidR="00952F0F" w:rsidRPr="00952F0F">
              <w:t>(LPH 8)</w:t>
            </w:r>
          </w:p>
        </w:tc>
        <w:tc>
          <w:tcPr>
            <w:tcW w:w="4530" w:type="dxa"/>
          </w:tcPr>
          <w:p w14:paraId="7B947F6A" w14:textId="77777777" w:rsidR="009A2448" w:rsidRDefault="009A2448" w:rsidP="00D50F20">
            <w:r w:rsidRPr="2874F25A">
              <w:rPr>
                <w:i/>
                <w:iCs/>
                <w:highlight w:val="lightGray"/>
              </w:rPr>
              <w:t>[angebotene Pauschale]</w:t>
            </w:r>
          </w:p>
        </w:tc>
      </w:tr>
      <w:tr w:rsidR="009A2448" w14:paraId="2C314D79" w14:textId="77777777" w:rsidTr="00D50F20">
        <w:trPr>
          <w:trHeight w:val="300"/>
        </w:trPr>
        <w:tc>
          <w:tcPr>
            <w:tcW w:w="4530" w:type="dxa"/>
          </w:tcPr>
          <w:p w14:paraId="27C971A9" w14:textId="4C9C1EF1" w:rsidR="009A2448" w:rsidRDefault="00952F0F" w:rsidP="00D50F20">
            <w:r w:rsidRPr="00952F0F">
              <w:t>Baubegehung zur Feststellung und Überwachung von die Standsicherheit betreffenden Einflüssen</w:t>
            </w:r>
            <w:r>
              <w:t xml:space="preserve"> </w:t>
            </w:r>
            <w:r w:rsidRPr="00952F0F">
              <w:t xml:space="preserve">(LPH </w:t>
            </w:r>
            <w:r>
              <w:t>9</w:t>
            </w:r>
            <w:r w:rsidRPr="00952F0F">
              <w:t>)</w:t>
            </w:r>
          </w:p>
        </w:tc>
        <w:tc>
          <w:tcPr>
            <w:tcW w:w="4530" w:type="dxa"/>
          </w:tcPr>
          <w:p w14:paraId="761A2613" w14:textId="77777777" w:rsidR="009A2448" w:rsidRDefault="009A2448" w:rsidP="00D50F20">
            <w:r w:rsidRPr="2874F25A">
              <w:rPr>
                <w:i/>
                <w:iCs/>
                <w:highlight w:val="lightGray"/>
              </w:rPr>
              <w:t>[angebotene Pauschale]</w:t>
            </w:r>
          </w:p>
          <w:p w14:paraId="6433A441" w14:textId="77777777" w:rsidR="009A2448" w:rsidRDefault="009A2448" w:rsidP="00D50F20"/>
        </w:tc>
      </w:tr>
    </w:tbl>
    <w:p w14:paraId="20CE7EEF" w14:textId="645BBBA4" w:rsidR="1E5E2423" w:rsidRDefault="1E5E2423" w:rsidP="3C027AF9">
      <w:pPr>
        <w:jc w:val="both"/>
        <w:rPr>
          <w:rFonts w:eastAsia="Arial"/>
          <w:color w:val="000000" w:themeColor="text1"/>
        </w:rPr>
      </w:pPr>
      <w:r w:rsidRPr="3C027AF9">
        <w:rPr>
          <w:rFonts w:eastAsia="Arial"/>
          <w:color w:val="000000" w:themeColor="text1"/>
        </w:rPr>
        <w:t>(5) Sofern Leistungen nach Zeitaufwand abzurechen sind, werden folgende Stundensätze (netto) vereinbart:</w:t>
      </w:r>
    </w:p>
    <w:p w14:paraId="4CE9822C" w14:textId="2C0EFBFE" w:rsidR="1E5E2423" w:rsidRDefault="1E5E2423" w:rsidP="3C027AF9">
      <w:pPr>
        <w:jc w:val="both"/>
        <w:rPr>
          <w:rFonts w:eastAsia="Arial"/>
          <w:color w:val="000000" w:themeColor="text1"/>
        </w:rPr>
      </w:pPr>
      <w:r w:rsidRPr="3C027AF9">
        <w:rPr>
          <w:rFonts w:eastAsia="Arial"/>
          <w:color w:val="000000" w:themeColor="text1"/>
        </w:rPr>
        <w:t xml:space="preserve">Projektleiter: </w:t>
      </w:r>
      <w:r w:rsidRPr="3C027AF9">
        <w:rPr>
          <w:rFonts w:eastAsia="Arial"/>
          <w:color w:val="000000" w:themeColor="text1"/>
          <w:u w:val="single"/>
        </w:rPr>
        <w:t xml:space="preserve">          </w:t>
      </w:r>
      <w:r w:rsidRPr="3C027AF9">
        <w:rPr>
          <w:rFonts w:eastAsia="Arial"/>
          <w:color w:val="000000" w:themeColor="text1"/>
        </w:rPr>
        <w:t xml:space="preserve"> EUR/Stunde</w:t>
      </w:r>
    </w:p>
    <w:p w14:paraId="60EAE645" w14:textId="36CE2008" w:rsidR="1E5E2423" w:rsidRDefault="1E5E2423" w:rsidP="3C027AF9">
      <w:pPr>
        <w:jc w:val="both"/>
        <w:rPr>
          <w:rFonts w:eastAsia="Arial"/>
          <w:color w:val="000000" w:themeColor="text1"/>
        </w:rPr>
      </w:pPr>
      <w:r w:rsidRPr="3C027AF9">
        <w:rPr>
          <w:rFonts w:eastAsia="Arial"/>
          <w:color w:val="000000" w:themeColor="text1"/>
        </w:rPr>
        <w:t>Ingenieur</w:t>
      </w:r>
      <w:r w:rsidR="00BA7F3A">
        <w:rPr>
          <w:rFonts w:eastAsia="Arial"/>
          <w:color w:val="000000" w:themeColor="text1"/>
        </w:rPr>
        <w:t>/Tragwerksplaner</w:t>
      </w:r>
      <w:r w:rsidRPr="3C027AF9">
        <w:rPr>
          <w:rFonts w:eastAsia="Arial"/>
          <w:color w:val="000000" w:themeColor="text1"/>
        </w:rPr>
        <w:t xml:space="preserve">: </w:t>
      </w:r>
      <w:r w:rsidRPr="3C027AF9">
        <w:rPr>
          <w:rFonts w:eastAsia="Arial"/>
          <w:color w:val="000000" w:themeColor="text1"/>
          <w:u w:val="single"/>
        </w:rPr>
        <w:t xml:space="preserve">          </w:t>
      </w:r>
      <w:r w:rsidRPr="3C027AF9">
        <w:rPr>
          <w:rFonts w:eastAsia="Arial"/>
          <w:color w:val="000000" w:themeColor="text1"/>
        </w:rPr>
        <w:t xml:space="preserve"> EUR/Stunde</w:t>
      </w:r>
    </w:p>
    <w:p w14:paraId="0308F798" w14:textId="4259F942" w:rsidR="1E5E2423" w:rsidRDefault="1E5E2423" w:rsidP="3C027AF9">
      <w:pPr>
        <w:jc w:val="both"/>
        <w:rPr>
          <w:rFonts w:eastAsia="Arial"/>
          <w:color w:val="000000" w:themeColor="text1"/>
        </w:rPr>
      </w:pPr>
      <w:r w:rsidRPr="3C027AF9">
        <w:rPr>
          <w:rFonts w:eastAsia="Arial"/>
          <w:color w:val="000000" w:themeColor="text1"/>
        </w:rPr>
        <w:t xml:space="preserve">Sonstige technische Mitarbeiter:   </w:t>
      </w:r>
      <w:r w:rsidRPr="3C027AF9">
        <w:rPr>
          <w:rFonts w:eastAsia="Arial"/>
          <w:color w:val="000000" w:themeColor="text1"/>
          <w:u w:val="single"/>
        </w:rPr>
        <w:t xml:space="preserve">          </w:t>
      </w:r>
      <w:r w:rsidRPr="3C027AF9">
        <w:rPr>
          <w:rFonts w:eastAsia="Arial"/>
          <w:color w:val="000000" w:themeColor="text1"/>
        </w:rPr>
        <w:t xml:space="preserve"> EUR/Stunde</w:t>
      </w:r>
    </w:p>
    <w:p w14:paraId="056B3316" w14:textId="616E431D" w:rsidR="1E5E2423" w:rsidRDefault="1E5E2423" w:rsidP="3C027AF9">
      <w:pPr>
        <w:jc w:val="both"/>
        <w:rPr>
          <w:rFonts w:eastAsia="Arial"/>
          <w:color w:val="000000" w:themeColor="text1"/>
        </w:rPr>
      </w:pPr>
      <w:r w:rsidRPr="3C027AF9">
        <w:rPr>
          <w:rFonts w:eastAsia="Arial"/>
          <w:color w:val="000000" w:themeColor="text1"/>
        </w:rPr>
        <w:t xml:space="preserve">(6) Die Nebenkosten im Sinne von § 14 HOAI sind gesondert abzurechnen, und zwar pauschal mit </w:t>
      </w:r>
      <w:r w:rsidRPr="3C027AF9">
        <w:rPr>
          <w:rFonts w:eastAsia="Arial"/>
          <w:color w:val="000000" w:themeColor="text1"/>
          <w:highlight w:val="lightGray"/>
          <w:u w:val="single"/>
        </w:rPr>
        <w:t xml:space="preserve">  </w:t>
      </w:r>
      <w:r w:rsidRPr="3C027AF9">
        <w:rPr>
          <w:rFonts w:eastAsia="Arial"/>
          <w:color w:val="000000" w:themeColor="text1"/>
        </w:rPr>
        <w:t xml:space="preserve">  % des Schlussrechnungsbetrages (netto). Der AN ist berechtigt, Abschlagszahlungen auch auf die Nebenkostenpauschale zu verlangen. Er darf diese gemeinsam mit seinen Abschlagsrechnungen geltend machen. Mit der Nebenkostenpauschale sind 2 Mehrfertigungen von den geschuldeten Plänen, Unterlagen, Berichten, Wartungsanleitungen etc. erfasst und abgegolten.</w:t>
      </w:r>
    </w:p>
    <w:p w14:paraId="5A1BA11E" w14:textId="58FC1085" w:rsidR="161205C1" w:rsidRDefault="161205C1" w:rsidP="3C027AF9">
      <w:pPr>
        <w:spacing w:before="0"/>
        <w:rPr>
          <w:rFonts w:eastAsia="Arial"/>
          <w:b/>
          <w:bCs/>
          <w:color w:val="141414"/>
          <w:sz w:val="22"/>
          <w:szCs w:val="22"/>
        </w:rPr>
      </w:pPr>
      <w:r w:rsidRPr="3C027AF9">
        <w:rPr>
          <w:rFonts w:eastAsia="Arial"/>
          <w:b/>
          <w:bCs/>
          <w:color w:val="141414"/>
          <w:sz w:val="22"/>
          <w:szCs w:val="22"/>
        </w:rPr>
        <w:t xml:space="preserve">§ </w:t>
      </w:r>
      <w:r w:rsidR="426E2E25" w:rsidRPr="3C027AF9">
        <w:rPr>
          <w:rFonts w:eastAsia="Arial"/>
          <w:b/>
          <w:bCs/>
          <w:color w:val="141414"/>
          <w:sz w:val="22"/>
          <w:szCs w:val="22"/>
        </w:rPr>
        <w:t>9</w:t>
      </w:r>
      <w:r w:rsidRPr="3C027AF9">
        <w:rPr>
          <w:rFonts w:eastAsia="Arial"/>
          <w:b/>
          <w:bCs/>
          <w:color w:val="141414"/>
          <w:sz w:val="22"/>
          <w:szCs w:val="22"/>
        </w:rPr>
        <w:t xml:space="preserve"> Leistungsänderungen</w:t>
      </w:r>
    </w:p>
    <w:p w14:paraId="4625CAF9" w14:textId="77777777" w:rsidR="009E42B9" w:rsidRDefault="009E42B9" w:rsidP="009E42B9">
      <w:pPr>
        <w:jc w:val="both"/>
      </w:pPr>
      <w:r>
        <w:t xml:space="preserve">1) Für Änderungsvereinbarungen und Änderungsanordnungen der Auftraggeberin sowie Änderungsvereinbarungen gilt § 650q Abs. 1 BGB iVm § 650b BGB mit den nachfolgenden Modifikationen: </w:t>
      </w:r>
    </w:p>
    <w:p w14:paraId="32E8810F" w14:textId="77777777" w:rsidR="009E42B9" w:rsidRDefault="009E42B9" w:rsidP="009E42B9">
      <w:pPr>
        <w:jc w:val="both"/>
      </w:pPr>
      <w:r>
        <w:t>(2) Das Änderungsbegehren der Auftraggeberin kann sich auch auf die Art der Ausführung der Leistungen, insbesondere in zeitlicher Hinsicht beziehen.</w:t>
      </w:r>
    </w:p>
    <w:p w14:paraId="1CABE4AF" w14:textId="77777777" w:rsidR="009E42B9" w:rsidRDefault="009E42B9" w:rsidP="009E42B9">
      <w:pPr>
        <w:jc w:val="both"/>
      </w:pPr>
      <w:r>
        <w:t xml:space="preserve">(3) Die Befolgung von Änderungsbegehren der Auftraggeberin im Sinne von § 650b Abs. 1 Nr. 1, die mit einer Änderung der vereinbarten Planungs- und Überwachungsziele verbunden sind (nicht notwendige Änderungen) ist für den Auftragnehmer insbesondere dann unzumutbar, </w:t>
      </w:r>
    </w:p>
    <w:p w14:paraId="0970C4F3" w14:textId="77777777" w:rsidR="009E42B9" w:rsidRDefault="009E42B9" w:rsidP="009E42B9">
      <w:pPr>
        <w:jc w:val="both"/>
      </w:pPr>
      <w:r>
        <w:t>– wenn sich die Planung auf ein anderes Grundstück beziehen soll;</w:t>
      </w:r>
    </w:p>
    <w:p w14:paraId="46405AAB" w14:textId="77777777" w:rsidR="009E42B9" w:rsidRDefault="009E42B9" w:rsidP="009E42B9">
      <w:pPr>
        <w:jc w:val="both"/>
      </w:pPr>
      <w:r>
        <w:t>– wenn sich durch die von der Auftraggeberin begehrte Änderung der Charakter des Bauwerks insgesamt so verändern würde, dass die Identität des Bauwerks nicht mehr gewahrt wäre;</w:t>
      </w:r>
    </w:p>
    <w:p w14:paraId="2DE33B66" w14:textId="77777777" w:rsidR="009E42B9" w:rsidRDefault="009E42B9" w:rsidP="009E42B9">
      <w:pPr>
        <w:jc w:val="both"/>
      </w:pPr>
      <w:r>
        <w:t>– wenn sich die Befolgung eines Änderungsbegehrens für den Auftragnehmer unter Berücksichtigung seiner Urheberpersönlichkeitsrechte als unzumutbar darstellen würde;</w:t>
      </w:r>
    </w:p>
    <w:p w14:paraId="016A7367" w14:textId="77777777" w:rsidR="009E42B9" w:rsidRDefault="009E42B9" w:rsidP="009E42B9">
      <w:pPr>
        <w:jc w:val="both"/>
      </w:pPr>
      <w:r>
        <w:t>– wenn der Nutzungszweck des Bauwerks grundlegend verändert würde;</w:t>
      </w:r>
    </w:p>
    <w:p w14:paraId="6BD9E47F" w14:textId="77777777" w:rsidR="009E42B9" w:rsidRDefault="009E42B9" w:rsidP="009E42B9">
      <w:pPr>
        <w:jc w:val="both"/>
      </w:pPr>
      <w:r>
        <w:t>– wenn die Auftraggeberin von vorneherein endgültig und ernsthaft die Zahlung einer dem Auftragnehmer für die zusätzlich zu erbringenden Planungsleistungen zustehenden zusätzlichen Vergütung oder die Mitwirkung an einer entsprechenden, den zusätzlichen Vergütungsanspruch des Auftragnehmers umfassenden Nachtragsvereinbarung verweigert;</w:t>
      </w:r>
    </w:p>
    <w:p w14:paraId="211FD12E" w14:textId="77777777" w:rsidR="009E42B9" w:rsidRDefault="009E42B9" w:rsidP="009E42B9">
      <w:pPr>
        <w:jc w:val="both"/>
      </w:pPr>
      <w:r>
        <w:t>– wenn das Büro des Auftragnehmers auf die Ausführung der geänderten Leistungen nicht eingerichtet ist;</w:t>
      </w:r>
    </w:p>
    <w:p w14:paraId="5CA88616" w14:textId="77777777" w:rsidR="009E42B9" w:rsidRDefault="009E42B9" w:rsidP="009E42B9">
      <w:pPr>
        <w:jc w:val="both"/>
      </w:pPr>
      <w:r>
        <w:t>– wenn betriebsinterne Umstände im Büro des Auftragnehmers (zB eine besonders hohe Auslastung des Büros) entgegenstehen; der Auftragnehmer ist dann aber verpflichtet, weitere Mitarbeiter einzustellen bzw. Unteraufträge zu erteilen, soweit ihm dies nicht im Einzelfall aus besonderen Gründen unzumutbar ist.</w:t>
      </w:r>
    </w:p>
    <w:p w14:paraId="482CD28F" w14:textId="77777777" w:rsidR="009E42B9" w:rsidRDefault="009E42B9" w:rsidP="009E42B9">
      <w:pPr>
        <w:jc w:val="both"/>
      </w:pPr>
      <w:r>
        <w:t xml:space="preserve">(4) Die stufenweise Fortentwicklung und Durcharbeitung der Planung innerhalb einer bestimmten Leistungsstufe (Planungsoptimierung) einschließlich der Erarbeitung von Alternativen wird nicht vergütet, soweit die Planungsleistung Bestandteil der Grundleistungen der jeweiligen Leistungsphase ist, und </w:t>
      </w:r>
      <w:r>
        <w:lastRenderedPageBreak/>
        <w:t xml:space="preserve">solange die Grenzen der Zumutbarkeit für den Auftragnehmer nicht überschritten sind. Letzteres ist insbesondere dann der Fall, wenn innerhalb einer noch nicht abgeschlossenen Leistungsphase eine bereits erbrachte Teilleistung (zB ein erstellter Plan) auf Veranlassung der Auftraggeberin und aus einem nicht vom Auftragnehmer zu vertretenden Grund mehr als zwei Mal neu erstellt werden muss bzw. mehr als zwei Alternativplanungen erstellt werden müssen. Die weiteren Änderungen sind dann nach den nachfolgenden Grundsätzen der Vertragsänderung zu vergüten. Im Gegensatz zu Planungsoptimierungen sind geänderte Leistungen gesondert zu vergüten, wenn sie auf Änderungsvereinbarungen im Sinne von § 650q Abs. 1 iVm § 650b Abs. 1 BGB oder auf einer Änderungsanordnung der Auftraggeberin im Sinne von § 650q Abs. 1 iVm § 650b Abs. 2 BGB beruhen. Änderungsvereinbarungen im Sinne von § 650q Abs. 1 iVm § 650b Abs. 1 BGB sollen eine Vereinbarung über die Vergütungsanpassung infolge der Änderung umfassen. Der Anspruch auf Vergütungsanpassung nach Maßgabe der folgenden Regelungen besteht aber unabhängig vom Zustandekommen einer solchen Vereinbarung. </w:t>
      </w:r>
    </w:p>
    <w:p w14:paraId="7A96863F" w14:textId="77777777" w:rsidR="009E42B9" w:rsidRDefault="009E42B9" w:rsidP="009E42B9">
      <w:pPr>
        <w:jc w:val="both"/>
      </w:pPr>
      <w:r>
        <w:t>(5) Der Auftragnehmer wird der Auftraggeberin unverzüglich nach Zugang eines Änderungsbegehrens nach § 650q Abs. 1 BGB iVm § 650b Abs. 1 BGB ein prüfbares Honorarangebot in Textform über die infolge des Änderungsbegehrens begehrte Mehr- oder Mindervergütung mit üblichen Preisen nach folgender Maßgabe unterbreiten:</w:t>
      </w:r>
    </w:p>
    <w:p w14:paraId="7BA917F8" w14:textId="2F13BC36" w:rsidR="009E42B9" w:rsidRDefault="009E42B9" w:rsidP="009E42B9">
      <w:pPr>
        <w:jc w:val="both"/>
      </w:pPr>
      <w:r>
        <w:t>– Für Änderungsleistungen im Sinne von § 650b Abs. 1 Nr. 1 BGB (nicht notwendige Änderungen), die Grundleistungen des vertragsgegenständlichen Leistungsbildes oder Beratungsleistungen der Anlage 1 zu § 3 Abs. 1 HOAI betreffen, hat die Vergütung der Änderungsleistung nach § 8.3 mit dem Honoraranteil zu erfolgen, der preisrechtlich auf die geänderte Leistung entfällt.</w:t>
      </w:r>
    </w:p>
    <w:p w14:paraId="21097351" w14:textId="5A9699FE" w:rsidR="009E42B9" w:rsidRDefault="009E42B9" w:rsidP="009E42B9">
      <w:pPr>
        <w:jc w:val="both"/>
      </w:pPr>
      <w:r>
        <w:t>– Bei Änderungsleistungen im Sinne von § 650b Abs. 1 Nr. 1 BGB (nicht notwendige Änderungen), die keine Grundleistungen im vorstehend genannten Sinne betreffen, hat der Auftragnehmer ein Nachtragsangebot auf Grundlage des geschätzten Zeitaufwands und der in § 8.5 vereinbarten Stundensätze zu kalkulieren.</w:t>
      </w:r>
    </w:p>
    <w:p w14:paraId="0299A566" w14:textId="3CA4496B" w:rsidR="009E42B9" w:rsidRDefault="009E42B9" w:rsidP="009E42B9">
      <w:pPr>
        <w:jc w:val="both"/>
      </w:pPr>
      <w:r>
        <w:t xml:space="preserve">(6) Für Änderungsleistungen im Sinne von § 650b Abs. 1 Nr. 2 BGB (notwendige Änderungen) gilt der vorstehende § 9.5 nur dann und insoweit, als die Gründe die die Änderung notwendig machen, auf einer vertraglichen oder vorvertraglichen Pflicht- bzw. Obliegenheitsverletzung der Auftraggeberin beruhen, oder wenn die Notwendigkeit der Änderung für die Auftraggeberin bei Vertragsschluss erkennbar war. Dies gilt auch für etwaige Beschleunigungsmaßnahmen, die erforderlich werden, um eine Zielvorstellung in zeitlicher Hinsicht (im Sinne von § 650p BGB) erreichen zu können. Liegen die genannten Voraussetzungen nicht vor, liegt das Risiko notwendiger Änderungen, um die vereinbarten Planungs- und Überwachungsziele einzuhalten, beim Auftragnehmer. </w:t>
      </w:r>
    </w:p>
    <w:p w14:paraId="5B6AEBA8" w14:textId="77777777" w:rsidR="009E42B9" w:rsidRDefault="009E42B9" w:rsidP="009E42B9">
      <w:pPr>
        <w:jc w:val="both"/>
      </w:pPr>
      <w:r>
        <w:t>(7) Führt ein Änderungsbegehren der Auftraggeberin hinsichtlich der vereinbarten bzw. bei Vertragsschluss vorausgesetzten Ausführungsfristen (§ 7.2) zu einem Mehraufwand beim Auftragnehmer, so wird der nachgewiesene tatsächliche Mehraufwand vergütet.</w:t>
      </w:r>
    </w:p>
    <w:p w14:paraId="2374108F" w14:textId="05A154AF" w:rsidR="009E42B9" w:rsidRPr="009E42B9" w:rsidRDefault="009E42B9" w:rsidP="009E42B9">
      <w:pPr>
        <w:jc w:val="both"/>
        <w:rPr>
          <w:strike/>
        </w:rPr>
      </w:pPr>
      <w:r>
        <w:t xml:space="preserve">(8) Tritt aus einem nicht vom Auftragnehmer zu vertretenden Grunde eine Unterbrechung des Projektes von mindestens drei Monaten ein, ohne dass die weitere Leistungserbringung dauernd unmöglich wird, ist der Auftragnehmer berechtigt, die bis dahin erbrachten Leistungen vertragsgemäß abzurechnen, sowie außerdem Erstattung derjenigen Kosten zu verlangen, die dem Auftragnehmer bereits entstanden und in der Vergütung des noch nicht ausgeführten Teils der Leistung enthalten sind. </w:t>
      </w:r>
    </w:p>
    <w:p w14:paraId="2807E963" w14:textId="6CBE914B" w:rsidR="161205C1" w:rsidRDefault="161205C1" w:rsidP="3C027AF9">
      <w:pPr>
        <w:pStyle w:val="H2"/>
        <w:jc w:val="both"/>
        <w:rPr>
          <w:rFonts w:eastAsia="Arial"/>
          <w:color w:val="000000" w:themeColor="text1"/>
        </w:rPr>
      </w:pPr>
      <w:r w:rsidRPr="3C027AF9">
        <w:rPr>
          <w:rFonts w:eastAsia="Arial"/>
          <w:color w:val="000000" w:themeColor="text1"/>
        </w:rPr>
        <w:t>§ 1</w:t>
      </w:r>
      <w:r w:rsidR="46904FA3" w:rsidRPr="3C027AF9">
        <w:rPr>
          <w:rFonts w:eastAsia="Arial"/>
          <w:color w:val="000000" w:themeColor="text1"/>
        </w:rPr>
        <w:t>0</w:t>
      </w:r>
      <w:r w:rsidRPr="3C027AF9">
        <w:rPr>
          <w:rFonts w:eastAsia="Arial"/>
          <w:color w:val="000000" w:themeColor="text1"/>
        </w:rPr>
        <w:t xml:space="preserve"> Zahlung/Umsatzsteuer</w:t>
      </w:r>
    </w:p>
    <w:p w14:paraId="2039EEE0" w14:textId="2821AECB" w:rsidR="161205C1" w:rsidRDefault="161205C1" w:rsidP="3C027AF9">
      <w:pPr>
        <w:jc w:val="both"/>
        <w:rPr>
          <w:rFonts w:eastAsia="Arial"/>
          <w:color w:val="000000" w:themeColor="text1"/>
        </w:rPr>
      </w:pPr>
      <w:r w:rsidRPr="3C027AF9">
        <w:rPr>
          <w:rFonts w:eastAsia="Arial"/>
          <w:color w:val="000000" w:themeColor="text1"/>
        </w:rPr>
        <w:t>(1) Der AN kann für nachgewiesene Leistungen Abschlagszahlungen in angemessenen zeitlichen Abständen nach § 632a BGB verlangen.</w:t>
      </w:r>
    </w:p>
    <w:p w14:paraId="1A14A380" w14:textId="6FA14A60" w:rsidR="161205C1" w:rsidRDefault="161205C1" w:rsidP="3C027AF9">
      <w:pPr>
        <w:jc w:val="both"/>
        <w:rPr>
          <w:rFonts w:eastAsia="Arial"/>
          <w:color w:val="000000" w:themeColor="text1"/>
        </w:rPr>
      </w:pPr>
      <w:r w:rsidRPr="3C027AF9">
        <w:rPr>
          <w:rFonts w:eastAsia="Arial"/>
          <w:color w:val="000000" w:themeColor="text1"/>
        </w:rPr>
        <w:t>(2) Der AN hat unverzüglich nach erfolgter Abnahme eine prüffähige Schlussrechnung zu stellen.</w:t>
      </w:r>
    </w:p>
    <w:p w14:paraId="7FA621DA" w14:textId="6E90D486" w:rsidR="161205C1" w:rsidRDefault="161205C1" w:rsidP="3C027AF9">
      <w:pPr>
        <w:jc w:val="both"/>
        <w:rPr>
          <w:rFonts w:eastAsia="Arial"/>
          <w:color w:val="000000" w:themeColor="text1"/>
        </w:rPr>
      </w:pPr>
      <w:r w:rsidRPr="3C027AF9">
        <w:rPr>
          <w:rFonts w:eastAsia="Arial"/>
          <w:color w:val="000000" w:themeColor="text1"/>
        </w:rPr>
        <w:t>(3) Die Parteien vereinbaren für die Prüfung der Schlussrechnung einen Prüfungszeitraum von 30 Werktagen ab Zugang der prüfbaren Rechnung beim AG. Fällig wird der Anspruch aus der Schlussrechnung mit Ablauf der vorgenannten Frist, es sei denn, d</w:t>
      </w:r>
      <w:r w:rsidR="005D1C27">
        <w:rPr>
          <w:rFonts w:eastAsia="Arial"/>
          <w:color w:val="000000" w:themeColor="text1"/>
        </w:rPr>
        <w:t>ie</w:t>
      </w:r>
      <w:r w:rsidRPr="3C027AF9">
        <w:rPr>
          <w:rFonts w:eastAsia="Arial"/>
          <w:color w:val="000000" w:themeColor="text1"/>
        </w:rPr>
        <w:t xml:space="preserve"> AG hat innerhalb dieser Frist die Prüffähigkeit der Rechnung begründet gerügt. Verzug mit der Zahlung des Schlussrechnungsbetrags tritt nach Ablauf von weiteren 30 Werktagen nach Ablauf der vereinbarten Prüfungsfrist ein.</w:t>
      </w:r>
    </w:p>
    <w:p w14:paraId="2E65A59C" w14:textId="58C4858A" w:rsidR="161205C1" w:rsidRDefault="161205C1" w:rsidP="3C027AF9">
      <w:pPr>
        <w:jc w:val="both"/>
        <w:rPr>
          <w:rFonts w:eastAsia="Arial"/>
          <w:color w:val="000000" w:themeColor="text1"/>
        </w:rPr>
      </w:pPr>
      <w:r w:rsidRPr="3C027AF9">
        <w:rPr>
          <w:rFonts w:eastAsia="Arial"/>
          <w:color w:val="000000" w:themeColor="text1"/>
        </w:rPr>
        <w:lastRenderedPageBreak/>
        <w:t>(4) Sämtliche Leistungen werden netto zuzüglich der bei Beauftragung der Leistungen jeweils geltenden Umsatzsteuer abgerechnet und vergütet, soweit Umsatzsteuer anfällt.</w:t>
      </w:r>
    </w:p>
    <w:p w14:paraId="7AF3025A" w14:textId="57FF6BED" w:rsidR="161205C1" w:rsidRDefault="161205C1" w:rsidP="3C027AF9">
      <w:pPr>
        <w:jc w:val="both"/>
        <w:rPr>
          <w:rFonts w:eastAsia="Arial"/>
          <w:color w:val="000000" w:themeColor="text1"/>
        </w:rPr>
      </w:pPr>
      <w:r w:rsidRPr="3C027AF9">
        <w:rPr>
          <w:rFonts w:eastAsia="Arial"/>
          <w:color w:val="000000" w:themeColor="text1"/>
        </w:rPr>
        <w:t>(5) Die § 10.2 bis 10.4 gelten auch bei einer vorzeitigen Vertragsbeendigung (gleich aus welchem Grund).</w:t>
      </w:r>
    </w:p>
    <w:p w14:paraId="6E38CD5D" w14:textId="13879BBF" w:rsidR="161205C1" w:rsidRDefault="161205C1" w:rsidP="3C027AF9">
      <w:pPr>
        <w:pStyle w:val="H2"/>
        <w:jc w:val="both"/>
        <w:rPr>
          <w:rFonts w:eastAsia="Arial"/>
          <w:color w:val="000000" w:themeColor="text1"/>
        </w:rPr>
      </w:pPr>
      <w:r w:rsidRPr="3C027AF9">
        <w:rPr>
          <w:rFonts w:eastAsia="Arial"/>
          <w:color w:val="000000" w:themeColor="text1"/>
        </w:rPr>
        <w:t>§ 1</w:t>
      </w:r>
      <w:r w:rsidR="5FD35250" w:rsidRPr="3C027AF9">
        <w:rPr>
          <w:rFonts w:eastAsia="Arial"/>
          <w:color w:val="000000" w:themeColor="text1"/>
        </w:rPr>
        <w:t>1</w:t>
      </w:r>
      <w:r w:rsidRPr="3C027AF9">
        <w:rPr>
          <w:rFonts w:eastAsia="Arial"/>
          <w:color w:val="000000" w:themeColor="text1"/>
        </w:rPr>
        <w:t xml:space="preserve"> Abnahme</w:t>
      </w:r>
    </w:p>
    <w:p w14:paraId="6F8AEDED" w14:textId="7008B1EB" w:rsidR="161205C1" w:rsidRDefault="161205C1" w:rsidP="3C027AF9">
      <w:pPr>
        <w:jc w:val="both"/>
        <w:rPr>
          <w:rFonts w:eastAsia="Arial"/>
          <w:color w:val="000000" w:themeColor="text1"/>
        </w:rPr>
      </w:pPr>
      <w:r w:rsidRPr="3C027AF9">
        <w:rPr>
          <w:rFonts w:eastAsia="Arial"/>
          <w:color w:val="000000" w:themeColor="text1"/>
        </w:rPr>
        <w:t>Nach vollständiger Leistungserbringung hat der Auftragnehmer Anspruch auf eine förmliche Abnahme. Der gesetzliche Anspruch auf Teilabnahme gemäß § 650s BGB bleibt unberührt.</w:t>
      </w:r>
    </w:p>
    <w:p w14:paraId="0F02A559" w14:textId="25D1B536" w:rsidR="00861CA9" w:rsidRDefault="00861CA9" w:rsidP="00861CA9">
      <w:pPr>
        <w:pStyle w:val="H2"/>
        <w:jc w:val="both"/>
      </w:pPr>
      <w:r>
        <w:t>§ 12 Urheberrecht</w:t>
      </w:r>
    </w:p>
    <w:p w14:paraId="5B1F8EC1" w14:textId="46E6ABC3" w:rsidR="005D1C27" w:rsidRPr="005D1C27" w:rsidRDefault="005D1C27" w:rsidP="005D1C27">
      <w:pPr>
        <w:spacing w:before="0"/>
        <w:jc w:val="both"/>
        <w:rPr>
          <w:rFonts w:eastAsia="Roboto"/>
          <w:color w:val="141414"/>
        </w:rPr>
      </w:pPr>
      <w:r w:rsidRPr="005D1C27">
        <w:rPr>
          <w:rFonts w:eastAsia="Roboto"/>
          <w:color w:val="141414"/>
        </w:rPr>
        <w:t>(1) An den vom AN erbrachten urheberrechtlich geschützten Leistungen und Arbeitsergebnissen, wie insbesondere den Planungen nach § 3, überträgt der AN hiermit auf d</w:t>
      </w:r>
      <w:r>
        <w:rPr>
          <w:rFonts w:eastAsia="Roboto"/>
          <w:color w:val="141414"/>
        </w:rPr>
        <w:t>ie</w:t>
      </w:r>
      <w:r w:rsidRPr="005D1C27">
        <w:rPr>
          <w:rFonts w:eastAsia="Roboto"/>
          <w:color w:val="141414"/>
        </w:rPr>
        <w:t xml:space="preserve"> AG das einfache Nutzungsrecht. Mit eingeschlossen ist das Bearbeitungsrecht.</w:t>
      </w:r>
    </w:p>
    <w:p w14:paraId="64B472F4" w14:textId="17EBA57E" w:rsidR="005D1C27" w:rsidRPr="005D1C27" w:rsidRDefault="005D1C27" w:rsidP="005D1C27">
      <w:pPr>
        <w:spacing w:before="0"/>
        <w:jc w:val="both"/>
        <w:rPr>
          <w:rFonts w:eastAsia="Roboto"/>
          <w:color w:val="141414"/>
        </w:rPr>
      </w:pPr>
      <w:r w:rsidRPr="005D1C27">
        <w:rPr>
          <w:rFonts w:eastAsia="Roboto"/>
          <w:color w:val="141414"/>
        </w:rPr>
        <w:t>(2) Genießen die Leistungen des AN keinen Urheberschutz, so kann d</w:t>
      </w:r>
      <w:r>
        <w:rPr>
          <w:rFonts w:eastAsia="Roboto"/>
          <w:color w:val="141414"/>
        </w:rPr>
        <w:t>ie</w:t>
      </w:r>
      <w:r w:rsidRPr="005D1C27">
        <w:rPr>
          <w:rFonts w:eastAsia="Roboto"/>
          <w:color w:val="141414"/>
        </w:rPr>
        <w:t xml:space="preserve"> AG die Planung des AN für die im Vertrag genannte Baumaßnahme ohne Mitwirkung des AN nutzen und ändern. Dasselbe gilt auch für ausgeführte Werke.</w:t>
      </w:r>
    </w:p>
    <w:p w14:paraId="79AAE99B" w14:textId="5C15A89A" w:rsidR="005D1C27" w:rsidRPr="005D1C27" w:rsidRDefault="005D1C27" w:rsidP="005D1C27">
      <w:pPr>
        <w:spacing w:before="0"/>
        <w:jc w:val="both"/>
        <w:rPr>
          <w:rFonts w:eastAsia="Roboto"/>
          <w:color w:val="141414"/>
        </w:rPr>
      </w:pPr>
      <w:r w:rsidRPr="005D1C27">
        <w:rPr>
          <w:rFonts w:eastAsia="Roboto"/>
          <w:color w:val="141414"/>
        </w:rPr>
        <w:t>(3) D</w:t>
      </w:r>
      <w:r>
        <w:rPr>
          <w:rFonts w:eastAsia="Roboto"/>
          <w:color w:val="141414"/>
        </w:rPr>
        <w:t>ie</w:t>
      </w:r>
      <w:r w:rsidRPr="005D1C27">
        <w:rPr>
          <w:rFonts w:eastAsia="Roboto"/>
          <w:color w:val="141414"/>
        </w:rPr>
        <w:t xml:space="preserve"> AG ist berechtigt, die Nutzungsrechte ganz oder teilweise auf Dritte zu übertragen, von Dritten ausüben und ausführen zu lassen sowie Dritten hieran weitere Nutzungsrechte einzuräumen.</w:t>
      </w:r>
    </w:p>
    <w:p w14:paraId="2CD0DFE3" w14:textId="031A149B" w:rsidR="005D1C27" w:rsidRPr="005D1C27" w:rsidRDefault="005D1C27" w:rsidP="005D1C27">
      <w:pPr>
        <w:spacing w:before="0"/>
        <w:jc w:val="both"/>
        <w:rPr>
          <w:rFonts w:eastAsia="Roboto"/>
          <w:color w:val="141414"/>
        </w:rPr>
      </w:pPr>
      <w:r w:rsidRPr="005D1C27">
        <w:rPr>
          <w:rFonts w:eastAsia="Roboto"/>
          <w:color w:val="141414"/>
        </w:rPr>
        <w:t>(4) Mit der vereinbarten Vergütung sind sämtliche Ansprüche des AN im Zusammenhang mit vorstehender Nutzungsrechtsübertragung abgegolten. Der AN stellt d</w:t>
      </w:r>
      <w:r>
        <w:rPr>
          <w:rFonts w:eastAsia="Roboto"/>
          <w:color w:val="141414"/>
        </w:rPr>
        <w:t>ie</w:t>
      </w:r>
      <w:r w:rsidRPr="005D1C27">
        <w:rPr>
          <w:rFonts w:eastAsia="Roboto"/>
          <w:color w:val="141414"/>
        </w:rPr>
        <w:t xml:space="preserve"> AG von sämtlichen Vergütungsansprüchen frei, die im Zusammenhang mit der Nutzungsrechtsübertragung bzw. Ausübung der Nutzungsrechte gegen ihn geltend gemacht werden.</w:t>
      </w:r>
    </w:p>
    <w:p w14:paraId="6429D59D" w14:textId="5E478FBB" w:rsidR="005D1C27" w:rsidRPr="005D1C27" w:rsidRDefault="005D1C27" w:rsidP="005D1C27">
      <w:pPr>
        <w:spacing w:before="0"/>
        <w:jc w:val="both"/>
        <w:rPr>
          <w:rFonts w:eastAsia="Roboto"/>
          <w:color w:val="141414"/>
        </w:rPr>
      </w:pPr>
      <w:r w:rsidRPr="005D1C27">
        <w:rPr>
          <w:rFonts w:eastAsia="Roboto"/>
          <w:color w:val="141414"/>
        </w:rPr>
        <w:t>(5) Der AN ist berechtigt – auch nach Beendigung dieses Vertrages –, das Bauwerk oder die bauliche Anlage mit vorheriger schriftlicher Zustimmung de</w:t>
      </w:r>
      <w:r>
        <w:rPr>
          <w:rFonts w:eastAsia="Roboto"/>
          <w:color w:val="141414"/>
        </w:rPr>
        <w:t>r</w:t>
      </w:r>
      <w:r w:rsidRPr="005D1C27">
        <w:rPr>
          <w:rFonts w:eastAsia="Roboto"/>
          <w:color w:val="141414"/>
        </w:rPr>
        <w:t xml:space="preserve"> AG zu betreten, um fotografische oder sonstige Aufnahmen zu fertigen; deren Veröffentlichung bedürfen ebenfalls der vorherigen schriftlichen Zustimmung de</w:t>
      </w:r>
      <w:r>
        <w:rPr>
          <w:rFonts w:eastAsia="Roboto"/>
          <w:color w:val="141414"/>
        </w:rPr>
        <w:t>r</w:t>
      </w:r>
      <w:r w:rsidRPr="005D1C27">
        <w:rPr>
          <w:rFonts w:eastAsia="Roboto"/>
          <w:color w:val="141414"/>
        </w:rPr>
        <w:t xml:space="preserve"> AG sowie der Einräumung entsprechender Nutzungsrechte durch den AG. Der AG ist berechtigt, die Zustimmung zum Betreten des Bauwerks durch den AN zu verweigern, soweit dem Betreten des Bauwerks durch den AN ein berechtigtes Interesse de</w:t>
      </w:r>
      <w:r>
        <w:rPr>
          <w:rFonts w:eastAsia="Roboto"/>
          <w:color w:val="141414"/>
        </w:rPr>
        <w:t>r</w:t>
      </w:r>
      <w:r w:rsidRPr="005D1C27">
        <w:rPr>
          <w:rFonts w:eastAsia="Roboto"/>
          <w:color w:val="141414"/>
        </w:rPr>
        <w:t xml:space="preserve"> AG gegenübersteht; die Verweigerung der Zustimmung ist durch d</w:t>
      </w:r>
      <w:r>
        <w:rPr>
          <w:rFonts w:eastAsia="Roboto"/>
          <w:color w:val="141414"/>
        </w:rPr>
        <w:t>ie</w:t>
      </w:r>
      <w:r w:rsidRPr="005D1C27">
        <w:rPr>
          <w:rFonts w:eastAsia="Roboto"/>
          <w:color w:val="141414"/>
        </w:rPr>
        <w:t xml:space="preserve"> AG auf Anforderung des AN zu begründen</w:t>
      </w:r>
      <w:r>
        <w:rPr>
          <w:rFonts w:eastAsia="Roboto"/>
          <w:color w:val="141414"/>
        </w:rPr>
        <w:t>.</w:t>
      </w:r>
      <w:r w:rsidRPr="005D1C27">
        <w:rPr>
          <w:rFonts w:eastAsia="Roboto"/>
          <w:color w:val="141414"/>
        </w:rPr>
        <w:t> Dem AN steht das Recht zu, auf den Planunterlagen, am Bauwerk oder an baulichen Anlagen bzw. im Rahmen diesbezüglicher Veröffentlichungen namentlich in branchenüblicher Weise genannt zu werden.</w:t>
      </w:r>
    </w:p>
    <w:p w14:paraId="33F4D32F" w14:textId="77777777" w:rsidR="005D1C27" w:rsidRDefault="005D1C27" w:rsidP="005D1C27">
      <w:pPr>
        <w:spacing w:before="0"/>
        <w:jc w:val="both"/>
        <w:rPr>
          <w:rFonts w:eastAsia="Roboto"/>
          <w:color w:val="141414"/>
        </w:rPr>
      </w:pPr>
      <w:r w:rsidRPr="005D1C27">
        <w:rPr>
          <w:rFonts w:eastAsia="Roboto"/>
          <w:color w:val="141414"/>
        </w:rPr>
        <w:t>(6) Die vorstehenden Bestimmungen bleiben von einer Beendigung des Vertrages unberührt. Im Falle einer Kündigung des Vertrages, gleich aus welchem Grunde, umfasst die Nutzungsrechtsübertragung diejenigen Arbeitsergebnisse und Leistungen, die der AN bis zum Zeitpunkt des Wirksamwerdens der Kündigung geschaffen hat.</w:t>
      </w:r>
    </w:p>
    <w:p w14:paraId="383EE4E1" w14:textId="580C8C92" w:rsidR="005D1C27" w:rsidRPr="005D1C27" w:rsidRDefault="005D1C27" w:rsidP="005D1C27">
      <w:pPr>
        <w:pStyle w:val="H2"/>
        <w:jc w:val="both"/>
      </w:pPr>
      <w:r>
        <w:t>§ 13 Unterlagen</w:t>
      </w:r>
    </w:p>
    <w:p w14:paraId="0ED29F7E" w14:textId="56EF5FE6" w:rsidR="005D1C27" w:rsidRPr="005D1C27" w:rsidRDefault="005D1C27" w:rsidP="005D1C27">
      <w:pPr>
        <w:spacing w:before="0"/>
        <w:jc w:val="both"/>
        <w:rPr>
          <w:rFonts w:eastAsia="Roboto"/>
          <w:color w:val="141414"/>
        </w:rPr>
      </w:pPr>
      <w:r w:rsidRPr="005D1C27">
        <w:rPr>
          <w:rFonts w:eastAsia="Roboto"/>
          <w:color w:val="141414"/>
        </w:rPr>
        <w:t>(1) Unverzüglich nach Beendigung der letzten beauftragten Leistungen einschl. der zugehörigen beauftragten Besonderen Leistungen stellt der AN die gefertigten Pläne und alle sonstigen Unterlagen und Dokumente zusammen und übergibt diese in 3-facher Ausfertigung der AG. Der AG sind auch alle sonstigen Unterlagen zu übergeben, die für die Fortsetzung des Bauvorhabens bzw. die Bewirtschaftung des Objekts erforderlich sind.</w:t>
      </w:r>
    </w:p>
    <w:p w14:paraId="413D6CA1" w14:textId="77777777" w:rsidR="005D1C27" w:rsidRPr="005D1C27" w:rsidRDefault="005D1C27" w:rsidP="005D1C27">
      <w:pPr>
        <w:spacing w:before="0"/>
        <w:jc w:val="both"/>
        <w:rPr>
          <w:rFonts w:eastAsia="Roboto"/>
          <w:color w:val="141414"/>
        </w:rPr>
      </w:pPr>
      <w:r w:rsidRPr="005D1C27">
        <w:rPr>
          <w:rFonts w:eastAsia="Roboto"/>
          <w:color w:val="141414"/>
        </w:rPr>
        <w:t>(2) Soweit eine Digitalisierung möglich ist, hat der AN der AG die Unterlagen in digitalisierter Form zu übergeben. Pläne sind der AG jeweils dreifach auf Papier sowie digital als PDF-Datei und als CAD-Datei (dwg- oder dxf-Format) zur Verfügung zu stellen.</w:t>
      </w:r>
    </w:p>
    <w:p w14:paraId="6C7D3DBE" w14:textId="77777777" w:rsidR="005D1C27" w:rsidRPr="005D1C27" w:rsidRDefault="005D1C27" w:rsidP="005D1C27">
      <w:pPr>
        <w:spacing w:before="0"/>
        <w:jc w:val="both"/>
        <w:rPr>
          <w:rFonts w:eastAsia="Roboto"/>
          <w:color w:val="141414"/>
        </w:rPr>
      </w:pPr>
      <w:r w:rsidRPr="005D1C27">
        <w:rPr>
          <w:rFonts w:eastAsia="Roboto"/>
          <w:color w:val="141414"/>
        </w:rPr>
        <w:t>(3) Gegenüber dem Anspruch der AG auf Übergabe von Unterlagen steht dem AN ein Zurückbehaltungsrecht nicht zu.</w:t>
      </w:r>
    </w:p>
    <w:p w14:paraId="1BB69963" w14:textId="77777777" w:rsidR="005D1C27" w:rsidRDefault="005D1C27" w:rsidP="005D1C27">
      <w:pPr>
        <w:spacing w:before="0"/>
        <w:jc w:val="both"/>
        <w:rPr>
          <w:rFonts w:eastAsia="Roboto"/>
          <w:color w:val="141414"/>
        </w:rPr>
      </w:pPr>
      <w:r w:rsidRPr="005D1C27">
        <w:rPr>
          <w:rFonts w:eastAsia="Roboto"/>
          <w:color w:val="141414"/>
        </w:rPr>
        <w:t>(4) Soweit Unterlagen nicht an die AG herauszugeben sind, ist der AN berechtigt, diese Unterlagen 10 Jahre nach vollständiger Leistungserbringung zu vernichten.</w:t>
      </w:r>
    </w:p>
    <w:p w14:paraId="4AF97F7C" w14:textId="77777777" w:rsidR="00F654A1" w:rsidRPr="005D1C27" w:rsidRDefault="00F654A1" w:rsidP="005D1C27">
      <w:pPr>
        <w:spacing w:before="0"/>
        <w:jc w:val="both"/>
        <w:rPr>
          <w:rFonts w:eastAsia="Roboto"/>
          <w:color w:val="141414"/>
        </w:rPr>
      </w:pPr>
    </w:p>
    <w:p w14:paraId="2FAB6D4E" w14:textId="1F925057" w:rsidR="005D1C27" w:rsidRDefault="005D1C27" w:rsidP="005D1C27">
      <w:pPr>
        <w:pStyle w:val="H2"/>
        <w:jc w:val="both"/>
      </w:pPr>
      <w:r>
        <w:lastRenderedPageBreak/>
        <w:t>§ 14 Haftung, Versicherung und Verjährung</w:t>
      </w:r>
    </w:p>
    <w:p w14:paraId="5E8D0F9E" w14:textId="77777777" w:rsidR="005D1C27" w:rsidRDefault="005D1C27" w:rsidP="005D1C27">
      <w:pPr>
        <w:jc w:val="both"/>
      </w:pPr>
      <w:r>
        <w:t>(1) Die Haftung des AN ergibt sich aus den gesetzlichen Bestimmungen.</w:t>
      </w:r>
    </w:p>
    <w:p w14:paraId="649D08C6" w14:textId="77777777" w:rsidR="005D1C27" w:rsidRDefault="005D1C27" w:rsidP="005D1C27">
      <w:pPr>
        <w:jc w:val="both"/>
      </w:pPr>
      <w:r>
        <w:t>(2) Der AN ist verpflichtet, eine Berufshaftpflichtversicherung nachzuweisen. Die Deckungssummen dieser Versicherungen müssen mindestens betragen:</w:t>
      </w:r>
    </w:p>
    <w:p w14:paraId="77666EBD" w14:textId="77777777" w:rsidR="005D1C27" w:rsidRDefault="005D1C27" w:rsidP="005D1C27">
      <w:pPr>
        <w:jc w:val="both"/>
      </w:pPr>
      <w:r w:rsidRPr="43F4EBBC">
        <w:t>– für Personen- und Sachschäden: 4.000.000 EUR</w:t>
      </w:r>
    </w:p>
    <w:p w14:paraId="2FB34E8F" w14:textId="77777777" w:rsidR="005D1C27" w:rsidRDefault="005D1C27" w:rsidP="005D1C27">
      <w:pPr>
        <w:jc w:val="both"/>
        <w:rPr>
          <w:rFonts w:eastAsia="Arial"/>
        </w:rPr>
      </w:pPr>
      <w:r w:rsidRPr="43F4EBBC">
        <w:rPr>
          <w:rFonts w:eastAsia="Arial"/>
        </w:rPr>
        <w:t xml:space="preserve">– für </w:t>
      </w:r>
      <w:r w:rsidRPr="43F4EBBC">
        <w:rPr>
          <w:rFonts w:eastAsia="Arial"/>
          <w:color w:val="000000" w:themeColor="text1"/>
        </w:rPr>
        <w:t>Vermögensschäden: 2.000.000 EUR</w:t>
      </w:r>
    </w:p>
    <w:p w14:paraId="0CD98E35" w14:textId="77777777" w:rsidR="005D1C27" w:rsidRDefault="005D1C27" w:rsidP="005D1C27">
      <w:pPr>
        <w:jc w:val="both"/>
      </w:pPr>
      <w:r>
        <w:t>Der Betrag muss je Versicherungsjahr 2-fach zur Verfügung stehen.</w:t>
      </w:r>
    </w:p>
    <w:p w14:paraId="11313AF5" w14:textId="77777777" w:rsidR="005D1C27" w:rsidRDefault="005D1C27" w:rsidP="005D1C27">
      <w:pPr>
        <w:jc w:val="both"/>
      </w:pPr>
      <w:r>
        <w:t>Die Versicherung ist für die Dauer dieses Vertrages einschließlich der Gewährleistungszeit aufrecht zu erhalten und auf Verlangen der AG auch während der Laufzeit dieses Vertrages nachzuweisen.</w:t>
      </w:r>
    </w:p>
    <w:p w14:paraId="461293B0" w14:textId="45B57B62" w:rsidR="78D4D2EA" w:rsidRDefault="005D1C27" w:rsidP="00075444">
      <w:pPr>
        <w:jc w:val="both"/>
      </w:pPr>
      <w:r>
        <w:t>(3) Sämtliche Ansprüche der AG gegen den AN verjähren, ebenso wie sämtliche Ansprüche der AN gegen die AG, innerhalb der gesetzlichen Fristen.</w:t>
      </w:r>
    </w:p>
    <w:p w14:paraId="55A3BF60" w14:textId="289B7F89" w:rsidR="00DF2567" w:rsidRDefault="78D4D2EA" w:rsidP="78D4D2EA">
      <w:pPr>
        <w:pStyle w:val="H2"/>
        <w:rPr>
          <w:highlight w:val="cyan"/>
        </w:rPr>
      </w:pPr>
      <w:r w:rsidRPr="00075444">
        <w:t>§ 1</w:t>
      </w:r>
      <w:r w:rsidR="00075444">
        <w:t>5</w:t>
      </w:r>
      <w:r w:rsidRPr="00075444">
        <w:t xml:space="preserve"> Kündigung</w:t>
      </w:r>
    </w:p>
    <w:p w14:paraId="09C66454" w14:textId="77777777" w:rsidR="00075444" w:rsidRDefault="00075444" w:rsidP="00075444">
      <w:pPr>
        <w:jc w:val="both"/>
      </w:pPr>
      <w:r>
        <w:t>(1) Auftragnehmer und Auftraggeberin sind zur Kündigung dieses Vertrages aus wichtigem Grunde berechtigt. Das Recht der Auftraggeberin zur ordentlichen Vertragskündigung sowie gegebenenfalls das Sonderkündigungsrecht beider Vertragsparteien nach § 650r BGB bleiben daneben unberührt.</w:t>
      </w:r>
    </w:p>
    <w:p w14:paraId="1B03B2F9" w14:textId="77777777" w:rsidR="00075444" w:rsidRDefault="00075444" w:rsidP="00075444">
      <w:pPr>
        <w:jc w:val="both"/>
      </w:pPr>
      <w:r>
        <w:t>(2) Ein wichtiger Kündigungsgrund liegt für die Auftraggeberin insbesondere dann vor, wenn</w:t>
      </w:r>
    </w:p>
    <w:p w14:paraId="77F5C6BB" w14:textId="77777777" w:rsidR="00075444" w:rsidRDefault="00075444" w:rsidP="00075444">
      <w:pPr>
        <w:jc w:val="both"/>
      </w:pPr>
      <w:r>
        <w:t>– sie ihre Bauabsicht für das geplante Objekt nachhaltig aufgegeben hat;</w:t>
      </w:r>
    </w:p>
    <w:p w14:paraId="2AD5F0B1" w14:textId="77777777" w:rsidR="00075444" w:rsidRDefault="00075444" w:rsidP="00075444">
      <w:pPr>
        <w:jc w:val="both"/>
      </w:pPr>
      <w:r>
        <w:t>– das Vertrauensverhältnis zwischen den Parteien auf Grund nach Vertragsschluss eingetretener Umstände erheblich gestört ist, oder andere Umstände vorliegen, auf Grund derer ein Festhalten der Auftraggeberin am Vertrag nicht mehr zugemutet werden kann;</w:t>
      </w:r>
    </w:p>
    <w:p w14:paraId="6C7F7A69" w14:textId="77777777" w:rsidR="00075444" w:rsidRDefault="00075444" w:rsidP="00075444">
      <w:pPr>
        <w:jc w:val="both"/>
      </w:pPr>
      <w:r>
        <w:t>– der Auftragnehmer seine Zahlungen eingestellt hat, die Eröffnung des Insolvenzverfahrens über sein Vermögen beantragt hat, oder die Leistungsfähigkeit des Auftragnehmers aus anderen Gründen so beeinträchtigt ist, dass ein Vertrauen in seine Fähigkeit oder seine Bereitschaft zur vertragsgerechten Erfüllung nicht mehr besteht.</w:t>
      </w:r>
    </w:p>
    <w:p w14:paraId="7187EC40" w14:textId="77777777" w:rsidR="00075444" w:rsidRDefault="00075444" w:rsidP="00075444">
      <w:pPr>
        <w:jc w:val="both"/>
      </w:pPr>
      <w:r>
        <w:t>(3) Ein wichtiger Grund zur Kündigung durch den Auftragnehmer liegt insbesondere dann vor, wenn</w:t>
      </w:r>
    </w:p>
    <w:p w14:paraId="067F58DA" w14:textId="77777777" w:rsidR="00075444" w:rsidRDefault="00075444" w:rsidP="00075444">
      <w:pPr>
        <w:jc w:val="both"/>
      </w:pPr>
      <w:r>
        <w:t>– die Auftraggeberin eine ihm obliegende Leistung unterlässt und dadurch den Auftragnehmer wesentlich behindert, seine Leistung vertragsgemäß auszuführen;</w:t>
      </w:r>
    </w:p>
    <w:p w14:paraId="5E805193" w14:textId="77777777" w:rsidR="00075444" w:rsidRDefault="00075444" w:rsidP="00075444">
      <w:pPr>
        <w:jc w:val="both"/>
      </w:pPr>
      <w:r>
        <w:t>– die Auftraggeberin mit einer fälligen Zahlung oder auf andere Weise mit einer erheblichen Vertragspflicht in Verzug gerät;</w:t>
      </w:r>
    </w:p>
    <w:p w14:paraId="7BC65EF2" w14:textId="77777777" w:rsidR="00075444" w:rsidRDefault="00075444" w:rsidP="00075444">
      <w:pPr>
        <w:jc w:val="both"/>
      </w:pPr>
      <w:r>
        <w:t>– das Vertrauensverhältnis zwischen den Parteien aus anderen, nach Vertragsschluss eingetretenen Gründen so erheblich gestört ist, dass dem Auftragnehmer ein Festhalten an dem Vertrag nicht mehr zugemutet werden kann.</w:t>
      </w:r>
    </w:p>
    <w:p w14:paraId="0435755C" w14:textId="77777777" w:rsidR="00075444" w:rsidRDefault="00075444" w:rsidP="00075444">
      <w:pPr>
        <w:jc w:val="both"/>
      </w:pPr>
      <w:r>
        <w:t>(4) Sowohl die von der Auftraggeberin, als auch die von dem Auftragnehmer erklärte Kündigung bedarf der Schriftform. Die Kündigung aus wichtigem Grunde ist erst zulässig, wenn der kündigende Vertragspartner dem anderen Vertragspartner zuvor ohne Erfolg schriftlich eine angemessene Frist zur Vertragserfüllung gesetzt und erklärt hat, dass er nach fruchtlosem Ablauf der Frist den Vertrag kündigen werde. Das gilt nicht, wenn der Vertragspartner die Vertragserfüllung schon zuvor endgültig und ernsthaft verweigert hat, so dass eine Fristsetzung eine sinnlose Förmlichkeit darstellen würde.</w:t>
      </w:r>
    </w:p>
    <w:p w14:paraId="11E3FF40" w14:textId="77777777" w:rsidR="00075444" w:rsidRDefault="00075444" w:rsidP="00075444">
      <w:pPr>
        <w:jc w:val="both"/>
      </w:pPr>
      <w:r>
        <w:t>(5) Angemessen im Sinne von § 648a BGB iVm § 314 Abs. 3 BGB ist in der Regel eine Frist von 14 Tagen.</w:t>
      </w:r>
    </w:p>
    <w:p w14:paraId="72C3EFE5" w14:textId="77777777" w:rsidR="00075444" w:rsidRDefault="00075444" w:rsidP="00075444">
      <w:pPr>
        <w:jc w:val="both"/>
      </w:pPr>
      <w:r>
        <w:t xml:space="preserve">(6) Im Falle der ordentlichen Vertragskündigung durch die Auftraggeberin sowie im Falle der einvernehmlichen Vertragsaufhebung (ohne dass die Vertragsaufhebung aus einem vom Auftragnehmer zu vertretenden Grunde veranlasst worden wäre), behält der Auftragnehmer den Anspruch auf das vertragliche Honorar auch für die infolge der vorzeitigen Vertragsbeendigung nicht mehr erbrachten Leistungen. Er muss sich jedoch dasjenige anrechnen lassen, was er infolge der Aufhebung des Vertrags an Aufwendungen erspart, sowie außerdem auch dasjenige, was er durch anderweitige Verwendung seiner </w:t>
      </w:r>
      <w:r>
        <w:lastRenderedPageBreak/>
        <w:t>Arbeitskraft erwirbt oder zu erwerben böswillig unterlässt („anderweitiger Erwerb“). Die ersparten Aufwendungen werden mit 95% des Honorars der noch nicht erbrachten Leistungen festgelegt, sofern nicht die Auftraggeberin höhere, oder der Auftragnehmer geringere Ersparnisse nachweist. Anderweitiger Erwerb ist von dieser Pauschalierung nicht umfasst und zusätzlich zu berücksichtigen.</w:t>
      </w:r>
    </w:p>
    <w:p w14:paraId="61D7267D" w14:textId="77777777" w:rsidR="00075444" w:rsidRDefault="00075444" w:rsidP="00075444">
      <w:pPr>
        <w:jc w:val="both"/>
      </w:pPr>
      <w:r>
        <w:t xml:space="preserve">(7) Im Falle einer Vertragsbeendigung durch eine von der Auftraggeberin ausgesprochenen Kündigung oder eine einvernehmliche Vertragsaufhebung aus einem wichtigen, vom Auftragnehmer zu vertretenden Grund hat der Auftragnehmer lediglich Anspruch auf Vergütung der bis zu diesem Zeitpunkt erbrachten Leistungen, soweit die erbrachten Leistungen für die Auftraggeberin zumutbarer Weise verwertbar sind. Sofern ein Anspruch der Auftraggeberin dem Auftragnehmer gegenüber auf Schadensersatz und/oder auf Mehrkostenerstattung besteht, ist die Auftraggeberin berechtigt, mit diesem Anspruch die Aufrechnung gegenüber dem Vergütungsanspruch des Auftragnehmers zu erklären. </w:t>
      </w:r>
    </w:p>
    <w:p w14:paraId="15EC84D2" w14:textId="77777777" w:rsidR="00075444" w:rsidRDefault="00075444" w:rsidP="00075444">
      <w:pPr>
        <w:jc w:val="both"/>
      </w:pPr>
      <w:r>
        <w:t>(8) In allen sonstigen Fällen der Vertragsbeendigung (Kündigung bzw. einvernehmliche Vertragsaufhebung aus wichtigem Grunde durch den Auftragnehmer, sowie Kündigung bzw. einvernehmliche Vertragsaufhebung aus einem wichtigen, aber nicht vom Auftragnehmer zu vertretenden Grund durch die Auftraggeberin) hat der Auftragnehmer Anspruch auf Vergütung der bis zur Kündigung erbrachten Leistungen. Daneben bestehende gesetzliche Ansprüche (zB Anspruch aus § 642 BGB; Schadensersatzanspruch gem. § 648 Abs. 6 BGB) bleiben unberührt.</w:t>
      </w:r>
    </w:p>
    <w:p w14:paraId="2D290BFB" w14:textId="79DFD819" w:rsidR="00075444" w:rsidRDefault="00075444" w:rsidP="00075444">
      <w:pPr>
        <w:pStyle w:val="H2"/>
        <w:jc w:val="both"/>
      </w:pPr>
      <w:r>
        <w:t>§ 16 Schlussbestimmungen</w:t>
      </w:r>
    </w:p>
    <w:p w14:paraId="1ABD78F3" w14:textId="77777777" w:rsidR="00075444" w:rsidRDefault="00075444" w:rsidP="00075444">
      <w:pPr>
        <w:jc w:val="both"/>
      </w:pPr>
      <w:r>
        <w:t>(1) Mündliche Nebenabreden sind nicht getroffen worden. Änderungen und Ergänzungen des Vertrages bedürfen der Schriftform.</w:t>
      </w:r>
    </w:p>
    <w:p w14:paraId="71D5B0CE" w14:textId="77777777" w:rsidR="00075444" w:rsidRDefault="00075444" w:rsidP="00075444">
      <w:pPr>
        <w:jc w:val="both"/>
      </w:pPr>
      <w:r>
        <w:t>(2) Sollten Bestimmungen dieses Vertrages, eine künftig in ihn aufgenommene Bestimmung oder ein wesentlicher Teil dieses Vertrags ganz oder teilweise unwirksam oder undurchführbar sein oder werden, oder sollte dieser Vertrag lückenhaft sein, so soll dies die Wirksamkeit der übrigen Bestimmungen dieses Vertrages nicht berühren. Anstelle der unwirksamen Bestimmung werden die Parteien in diesem Falle eine wirksame Bestimmung vereinbaren, die dem Sinn und Zweck der unwirksamen Bestimmung, insbesondere dem, was die Parteien wirtschaftlich beabsichtigt hatten, entspricht oder ihm am nächsten kommt. Im Falle von Lücken werden die Parteien eine Vertragsergänzung vereinbaren, die dem entspricht, was nach Sinn und Zweck dieses Vertrages vereinbart worden wäre, hätten die Vertragsparteien die Angelegenheit von vornherein bei Abschluss des Vertrages bedacht.</w:t>
      </w:r>
    </w:p>
    <w:p w14:paraId="2DECC752" w14:textId="77777777" w:rsidR="00075444" w:rsidRDefault="00075444" w:rsidP="00075444">
      <w:pPr>
        <w:jc w:val="both"/>
      </w:pPr>
      <w:r>
        <w:t>(3) Entstehen bei der Durchführung und Abwicklung dieses Vertrages Meinungsverschiedenheiten zwischen den Vertragspartnern, werden die Parteien zunächst versuchen, den Streit auf gütlichem Wege beizulegen. Streitfragen berechtigen die Parteien nur insoweit, ihre Mitwirkung an der Vertragserfüllung einzustellen, als ihnen auf Grund vertraglicher oder gesetzlicher Vorschriften ein Zurückbehaltungsrecht zusteht.</w:t>
      </w:r>
    </w:p>
    <w:p w14:paraId="6FA7719F" w14:textId="77777777" w:rsidR="00075444" w:rsidRDefault="00075444" w:rsidP="00075444">
      <w:pPr>
        <w:jc w:val="both"/>
      </w:pPr>
      <w:r>
        <w:t>(4) Sofern die Voraussetzungen einer Gerichtsstandsvereinbarung nach § 38 Abs. 1 S. 2 ZPO vorliegen, ist Wahlgerichtsstand auch der Ort, an dem die tatsächlichen Bauleistungen im Schwerpunkt ausgeführt werden. Sind nur Planungsleistungen Gegenstand des Auftrages, ist Wahlgerichtsstand auch der Geschäftssitz der der AG.</w:t>
      </w:r>
    </w:p>
    <w:p w14:paraId="05BEE2FE" w14:textId="77777777" w:rsidR="00075444" w:rsidRDefault="00075444" w:rsidP="00075444">
      <w:pPr>
        <w:jc w:val="both"/>
      </w:pPr>
      <w:r>
        <w:t> </w:t>
      </w:r>
    </w:p>
    <w:p w14:paraId="0716D210" w14:textId="77777777" w:rsidR="00075444" w:rsidRDefault="00075444" w:rsidP="00075444">
      <w:pPr>
        <w:jc w:val="both"/>
      </w:pPr>
    </w:p>
    <w:p w14:paraId="1185749A" w14:textId="77777777" w:rsidR="00075444" w:rsidRDefault="00075444" w:rsidP="00075444">
      <w:pPr>
        <w:rPr>
          <w:rFonts w:eastAsia="Arial"/>
          <w:color w:val="000000" w:themeColor="text1"/>
        </w:rPr>
      </w:pPr>
      <w:r w:rsidRPr="43F4EBBC">
        <w:rPr>
          <w:rFonts w:eastAsia="Arial"/>
          <w:color w:val="000000" w:themeColor="text1"/>
        </w:rPr>
        <w:t>________________, den __________</w:t>
      </w:r>
      <w:r>
        <w:tab/>
      </w:r>
      <w:r>
        <w:tab/>
      </w:r>
      <w:r>
        <w:tab/>
      </w:r>
      <w:r w:rsidRPr="43F4EBBC">
        <w:rPr>
          <w:rFonts w:eastAsia="Arial"/>
          <w:color w:val="000000" w:themeColor="text1"/>
        </w:rPr>
        <w:t>__________________, den ____________</w:t>
      </w:r>
    </w:p>
    <w:p w14:paraId="47D6E1AE" w14:textId="77777777" w:rsidR="00075444" w:rsidRDefault="00075444" w:rsidP="00075444">
      <w:pPr>
        <w:rPr>
          <w:rFonts w:eastAsia="Arial"/>
          <w:color w:val="000000" w:themeColor="text1"/>
        </w:rPr>
      </w:pPr>
      <w:r w:rsidRPr="43F4EBBC">
        <w:rPr>
          <w:rFonts w:eastAsia="Arial"/>
          <w:color w:val="000000" w:themeColor="text1"/>
        </w:rPr>
        <w:t> </w:t>
      </w:r>
    </w:p>
    <w:p w14:paraId="199CB0B9" w14:textId="77777777" w:rsidR="00075444" w:rsidRDefault="00075444" w:rsidP="00075444">
      <w:pPr>
        <w:rPr>
          <w:rFonts w:eastAsia="Arial"/>
          <w:color w:val="000000" w:themeColor="text1"/>
        </w:rPr>
      </w:pPr>
      <w:r w:rsidRPr="43F4EBBC">
        <w:rPr>
          <w:rFonts w:eastAsia="Arial"/>
          <w:color w:val="000000" w:themeColor="text1"/>
        </w:rPr>
        <w:t>_______________________________</w:t>
      </w:r>
      <w:r>
        <w:tab/>
      </w:r>
      <w:r>
        <w:tab/>
      </w:r>
      <w:r>
        <w:tab/>
      </w:r>
      <w:r w:rsidRPr="43F4EBBC">
        <w:rPr>
          <w:rFonts w:eastAsia="Arial"/>
          <w:color w:val="000000" w:themeColor="text1"/>
        </w:rPr>
        <w:t>__________________, den ____________</w:t>
      </w:r>
    </w:p>
    <w:p w14:paraId="2B345AE3" w14:textId="77777777" w:rsidR="00075444" w:rsidRDefault="00075444" w:rsidP="00075444">
      <w:pPr>
        <w:rPr>
          <w:rFonts w:eastAsia="Arial"/>
          <w:color w:val="000000" w:themeColor="text1"/>
        </w:rPr>
      </w:pPr>
      <w:r w:rsidRPr="43F4EBBC">
        <w:rPr>
          <w:rFonts w:eastAsia="Arial"/>
          <w:color w:val="000000" w:themeColor="text1"/>
        </w:rPr>
        <w:t xml:space="preserve"> (Unterschrift Auftraggeberin)</w:t>
      </w:r>
      <w:r>
        <w:tab/>
      </w:r>
      <w:r>
        <w:tab/>
      </w:r>
      <w:r>
        <w:tab/>
      </w:r>
      <w:r>
        <w:tab/>
      </w:r>
      <w:r w:rsidRPr="43F4EBBC">
        <w:rPr>
          <w:rFonts w:eastAsia="Arial"/>
          <w:color w:val="000000" w:themeColor="text1"/>
        </w:rPr>
        <w:t>(Unterschrift Auftragnehmer)</w:t>
      </w:r>
    </w:p>
    <w:p w14:paraId="7D5B5950" w14:textId="1B5B845B" w:rsidR="00DF2567" w:rsidRDefault="00DF2567" w:rsidP="78D4D2EA"/>
    <w:sectPr w:rsidR="00DF25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0EBD9"/>
    <w:multiLevelType w:val="hybridMultilevel"/>
    <w:tmpl w:val="FFFFFFFF"/>
    <w:lvl w:ilvl="0" w:tplc="6DDE430C">
      <w:start w:val="1"/>
      <w:numFmt w:val="decimal"/>
      <w:lvlText w:val="%1)"/>
      <w:lvlJc w:val="left"/>
      <w:pPr>
        <w:ind w:left="720" w:hanging="360"/>
      </w:pPr>
    </w:lvl>
    <w:lvl w:ilvl="1" w:tplc="8CA2C532">
      <w:start w:val="1"/>
      <w:numFmt w:val="lowerLetter"/>
      <w:lvlText w:val="%2."/>
      <w:lvlJc w:val="left"/>
      <w:pPr>
        <w:ind w:left="1440" w:hanging="360"/>
      </w:pPr>
    </w:lvl>
    <w:lvl w:ilvl="2" w:tplc="9E24405A">
      <w:start w:val="1"/>
      <w:numFmt w:val="lowerRoman"/>
      <w:lvlText w:val="%3."/>
      <w:lvlJc w:val="right"/>
      <w:pPr>
        <w:ind w:left="2160" w:hanging="180"/>
      </w:pPr>
    </w:lvl>
    <w:lvl w:ilvl="3" w:tplc="0770A694">
      <w:start w:val="1"/>
      <w:numFmt w:val="decimal"/>
      <w:lvlText w:val="%4."/>
      <w:lvlJc w:val="left"/>
      <w:pPr>
        <w:ind w:left="2880" w:hanging="360"/>
      </w:pPr>
    </w:lvl>
    <w:lvl w:ilvl="4" w:tplc="2F566F48">
      <w:start w:val="1"/>
      <w:numFmt w:val="lowerLetter"/>
      <w:lvlText w:val="%5."/>
      <w:lvlJc w:val="left"/>
      <w:pPr>
        <w:ind w:left="3600" w:hanging="360"/>
      </w:pPr>
    </w:lvl>
    <w:lvl w:ilvl="5" w:tplc="A9583C1A">
      <w:start w:val="1"/>
      <w:numFmt w:val="lowerRoman"/>
      <w:lvlText w:val="%6."/>
      <w:lvlJc w:val="right"/>
      <w:pPr>
        <w:ind w:left="4320" w:hanging="180"/>
      </w:pPr>
    </w:lvl>
    <w:lvl w:ilvl="6" w:tplc="13DE9E66">
      <w:start w:val="1"/>
      <w:numFmt w:val="decimal"/>
      <w:lvlText w:val="%7."/>
      <w:lvlJc w:val="left"/>
      <w:pPr>
        <w:ind w:left="5040" w:hanging="360"/>
      </w:pPr>
    </w:lvl>
    <w:lvl w:ilvl="7" w:tplc="191A3D68">
      <w:start w:val="1"/>
      <w:numFmt w:val="lowerLetter"/>
      <w:lvlText w:val="%8."/>
      <w:lvlJc w:val="left"/>
      <w:pPr>
        <w:ind w:left="5760" w:hanging="360"/>
      </w:pPr>
    </w:lvl>
    <w:lvl w:ilvl="8" w:tplc="3C48EA6E">
      <w:start w:val="1"/>
      <w:numFmt w:val="lowerRoman"/>
      <w:lvlText w:val="%9."/>
      <w:lvlJc w:val="right"/>
      <w:pPr>
        <w:ind w:left="6480" w:hanging="180"/>
      </w:pPr>
    </w:lvl>
  </w:abstractNum>
  <w:abstractNum w:abstractNumId="1" w15:restartNumberingAfterBreak="0">
    <w:nsid w:val="500D7E9F"/>
    <w:multiLevelType w:val="hybridMultilevel"/>
    <w:tmpl w:val="6456BC0A"/>
    <w:lvl w:ilvl="0" w:tplc="40706ED8">
      <w:start w:val="1"/>
      <w:numFmt w:val="bullet"/>
      <w:lvlText w:val="-"/>
      <w:lvlJc w:val="left"/>
      <w:pPr>
        <w:ind w:left="720" w:hanging="360"/>
      </w:pPr>
      <w:rPr>
        <w:rFonts w:ascii="Aptos" w:hAnsi="Aptos" w:hint="default"/>
      </w:rPr>
    </w:lvl>
    <w:lvl w:ilvl="1" w:tplc="E61E95F2">
      <w:start w:val="1"/>
      <w:numFmt w:val="bullet"/>
      <w:lvlText w:val="o"/>
      <w:lvlJc w:val="left"/>
      <w:pPr>
        <w:ind w:left="1440" w:hanging="360"/>
      </w:pPr>
      <w:rPr>
        <w:rFonts w:ascii="Courier New" w:hAnsi="Courier New" w:hint="default"/>
      </w:rPr>
    </w:lvl>
    <w:lvl w:ilvl="2" w:tplc="D724158A">
      <w:start w:val="1"/>
      <w:numFmt w:val="bullet"/>
      <w:lvlText w:val=""/>
      <w:lvlJc w:val="left"/>
      <w:pPr>
        <w:ind w:left="2160" w:hanging="360"/>
      </w:pPr>
      <w:rPr>
        <w:rFonts w:ascii="Wingdings" w:hAnsi="Wingdings" w:hint="default"/>
      </w:rPr>
    </w:lvl>
    <w:lvl w:ilvl="3" w:tplc="952A0C52">
      <w:start w:val="1"/>
      <w:numFmt w:val="bullet"/>
      <w:lvlText w:val=""/>
      <w:lvlJc w:val="left"/>
      <w:pPr>
        <w:ind w:left="2880" w:hanging="360"/>
      </w:pPr>
      <w:rPr>
        <w:rFonts w:ascii="Symbol" w:hAnsi="Symbol" w:hint="default"/>
      </w:rPr>
    </w:lvl>
    <w:lvl w:ilvl="4" w:tplc="FC7823C4">
      <w:start w:val="1"/>
      <w:numFmt w:val="bullet"/>
      <w:lvlText w:val="o"/>
      <w:lvlJc w:val="left"/>
      <w:pPr>
        <w:ind w:left="3600" w:hanging="360"/>
      </w:pPr>
      <w:rPr>
        <w:rFonts w:ascii="Courier New" w:hAnsi="Courier New" w:hint="default"/>
      </w:rPr>
    </w:lvl>
    <w:lvl w:ilvl="5" w:tplc="590EF66E">
      <w:start w:val="1"/>
      <w:numFmt w:val="bullet"/>
      <w:lvlText w:val=""/>
      <w:lvlJc w:val="left"/>
      <w:pPr>
        <w:ind w:left="4320" w:hanging="360"/>
      </w:pPr>
      <w:rPr>
        <w:rFonts w:ascii="Wingdings" w:hAnsi="Wingdings" w:hint="default"/>
      </w:rPr>
    </w:lvl>
    <w:lvl w:ilvl="6" w:tplc="A4C24362">
      <w:start w:val="1"/>
      <w:numFmt w:val="bullet"/>
      <w:lvlText w:val=""/>
      <w:lvlJc w:val="left"/>
      <w:pPr>
        <w:ind w:left="5040" w:hanging="360"/>
      </w:pPr>
      <w:rPr>
        <w:rFonts w:ascii="Symbol" w:hAnsi="Symbol" w:hint="default"/>
      </w:rPr>
    </w:lvl>
    <w:lvl w:ilvl="7" w:tplc="9758B06A">
      <w:start w:val="1"/>
      <w:numFmt w:val="bullet"/>
      <w:lvlText w:val="o"/>
      <w:lvlJc w:val="left"/>
      <w:pPr>
        <w:ind w:left="5760" w:hanging="360"/>
      </w:pPr>
      <w:rPr>
        <w:rFonts w:ascii="Courier New" w:hAnsi="Courier New" w:hint="default"/>
      </w:rPr>
    </w:lvl>
    <w:lvl w:ilvl="8" w:tplc="5434D3C6">
      <w:start w:val="1"/>
      <w:numFmt w:val="bullet"/>
      <w:lvlText w:val=""/>
      <w:lvlJc w:val="left"/>
      <w:pPr>
        <w:ind w:left="6480" w:hanging="360"/>
      </w:pPr>
      <w:rPr>
        <w:rFonts w:ascii="Wingdings" w:hAnsi="Wingdings" w:hint="default"/>
      </w:rPr>
    </w:lvl>
  </w:abstractNum>
  <w:num w:numId="1" w16cid:durableId="1683775977">
    <w:abstractNumId w:val="1"/>
  </w:num>
  <w:num w:numId="2" w16cid:durableId="51341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C5"/>
    <w:rsid w:val="00075444"/>
    <w:rsid w:val="0021623B"/>
    <w:rsid w:val="00264FC5"/>
    <w:rsid w:val="005D1C27"/>
    <w:rsid w:val="005D33E8"/>
    <w:rsid w:val="006C7E2C"/>
    <w:rsid w:val="00715C72"/>
    <w:rsid w:val="00820457"/>
    <w:rsid w:val="00861CA9"/>
    <w:rsid w:val="008F0A24"/>
    <w:rsid w:val="0093130F"/>
    <w:rsid w:val="00952F0F"/>
    <w:rsid w:val="009A2448"/>
    <w:rsid w:val="009E42B9"/>
    <w:rsid w:val="00BA11BF"/>
    <w:rsid w:val="00BA7F3A"/>
    <w:rsid w:val="00BF7F9C"/>
    <w:rsid w:val="00DF2567"/>
    <w:rsid w:val="00E36648"/>
    <w:rsid w:val="00F654A1"/>
    <w:rsid w:val="02C17730"/>
    <w:rsid w:val="02E895DF"/>
    <w:rsid w:val="038DD815"/>
    <w:rsid w:val="050FC6AE"/>
    <w:rsid w:val="0611D5AE"/>
    <w:rsid w:val="06AB2BBD"/>
    <w:rsid w:val="072EF929"/>
    <w:rsid w:val="0790E671"/>
    <w:rsid w:val="08232AC7"/>
    <w:rsid w:val="08F006AC"/>
    <w:rsid w:val="094A0099"/>
    <w:rsid w:val="09B2564D"/>
    <w:rsid w:val="0A56E266"/>
    <w:rsid w:val="0B1DE318"/>
    <w:rsid w:val="0BCFA6AB"/>
    <w:rsid w:val="0FB48315"/>
    <w:rsid w:val="11D62330"/>
    <w:rsid w:val="120E830A"/>
    <w:rsid w:val="1316B02F"/>
    <w:rsid w:val="131FA8DB"/>
    <w:rsid w:val="14126152"/>
    <w:rsid w:val="143A60DF"/>
    <w:rsid w:val="1499C20B"/>
    <w:rsid w:val="151E8C89"/>
    <w:rsid w:val="160639A4"/>
    <w:rsid w:val="161205C1"/>
    <w:rsid w:val="16354572"/>
    <w:rsid w:val="16D9222F"/>
    <w:rsid w:val="189F7625"/>
    <w:rsid w:val="18F7BC7C"/>
    <w:rsid w:val="196078EE"/>
    <w:rsid w:val="1B2AF0F3"/>
    <w:rsid w:val="1B6F1ABA"/>
    <w:rsid w:val="1B8A3165"/>
    <w:rsid w:val="1BE2E80E"/>
    <w:rsid w:val="1CDA5E31"/>
    <w:rsid w:val="1E5E2423"/>
    <w:rsid w:val="1E65C4A1"/>
    <w:rsid w:val="207A367E"/>
    <w:rsid w:val="209134D9"/>
    <w:rsid w:val="214C5B59"/>
    <w:rsid w:val="21B9E49D"/>
    <w:rsid w:val="21D551B8"/>
    <w:rsid w:val="235117BC"/>
    <w:rsid w:val="2542F84D"/>
    <w:rsid w:val="25762DD6"/>
    <w:rsid w:val="25F765DD"/>
    <w:rsid w:val="282BB385"/>
    <w:rsid w:val="2B3D7542"/>
    <w:rsid w:val="2F751D78"/>
    <w:rsid w:val="300F0D12"/>
    <w:rsid w:val="3024B241"/>
    <w:rsid w:val="31C4FBAA"/>
    <w:rsid w:val="32A80F32"/>
    <w:rsid w:val="3514BC7F"/>
    <w:rsid w:val="35568904"/>
    <w:rsid w:val="3587691D"/>
    <w:rsid w:val="3623ADA8"/>
    <w:rsid w:val="36E76B3D"/>
    <w:rsid w:val="38E59E98"/>
    <w:rsid w:val="39344ADF"/>
    <w:rsid w:val="3B274813"/>
    <w:rsid w:val="3B2EB8AA"/>
    <w:rsid w:val="3C027AF9"/>
    <w:rsid w:val="3DBC1CF8"/>
    <w:rsid w:val="3DE9B8CD"/>
    <w:rsid w:val="3E097B68"/>
    <w:rsid w:val="3EB5EE57"/>
    <w:rsid w:val="3EBA28F2"/>
    <w:rsid w:val="3F703C9C"/>
    <w:rsid w:val="402D128B"/>
    <w:rsid w:val="426E2E25"/>
    <w:rsid w:val="42E5C23E"/>
    <w:rsid w:val="4426FE2A"/>
    <w:rsid w:val="44B7E6D0"/>
    <w:rsid w:val="44E39CF2"/>
    <w:rsid w:val="4550D564"/>
    <w:rsid w:val="46693B30"/>
    <w:rsid w:val="466AC586"/>
    <w:rsid w:val="46904FA3"/>
    <w:rsid w:val="47667A5B"/>
    <w:rsid w:val="4847C267"/>
    <w:rsid w:val="48F87FE1"/>
    <w:rsid w:val="493A10F8"/>
    <w:rsid w:val="49AB398A"/>
    <w:rsid w:val="4A7BB9BA"/>
    <w:rsid w:val="4AB4E694"/>
    <w:rsid w:val="4BAB6EC0"/>
    <w:rsid w:val="4CEE0F5A"/>
    <w:rsid w:val="4D156E25"/>
    <w:rsid w:val="4ED4313B"/>
    <w:rsid w:val="51303E9D"/>
    <w:rsid w:val="526A25EE"/>
    <w:rsid w:val="54450940"/>
    <w:rsid w:val="5646BCE7"/>
    <w:rsid w:val="56C93E8B"/>
    <w:rsid w:val="576C8FBD"/>
    <w:rsid w:val="5882FE67"/>
    <w:rsid w:val="58B89CBA"/>
    <w:rsid w:val="58E97C4F"/>
    <w:rsid w:val="5A5F19AF"/>
    <w:rsid w:val="5A604951"/>
    <w:rsid w:val="5B7384D8"/>
    <w:rsid w:val="5C22BB4C"/>
    <w:rsid w:val="5C9E84F5"/>
    <w:rsid w:val="5F074A44"/>
    <w:rsid w:val="5F4E4B3C"/>
    <w:rsid w:val="5F996C80"/>
    <w:rsid w:val="5FD35250"/>
    <w:rsid w:val="5FEF463D"/>
    <w:rsid w:val="62DBDE92"/>
    <w:rsid w:val="63026E7E"/>
    <w:rsid w:val="638D6F98"/>
    <w:rsid w:val="66869229"/>
    <w:rsid w:val="67479FBD"/>
    <w:rsid w:val="6941F8D2"/>
    <w:rsid w:val="697E276C"/>
    <w:rsid w:val="6A3A03F9"/>
    <w:rsid w:val="6A5924F5"/>
    <w:rsid w:val="6F6D982F"/>
    <w:rsid w:val="6F830FA7"/>
    <w:rsid w:val="70CD1FD4"/>
    <w:rsid w:val="721264A0"/>
    <w:rsid w:val="72A85C33"/>
    <w:rsid w:val="72D08361"/>
    <w:rsid w:val="73A290FE"/>
    <w:rsid w:val="76D81A1F"/>
    <w:rsid w:val="77BD905D"/>
    <w:rsid w:val="78055A72"/>
    <w:rsid w:val="783F5033"/>
    <w:rsid w:val="785EA664"/>
    <w:rsid w:val="78AB6832"/>
    <w:rsid w:val="78D4D2EA"/>
    <w:rsid w:val="791728DE"/>
    <w:rsid w:val="7C816AE3"/>
    <w:rsid w:val="7D46314A"/>
    <w:rsid w:val="7D48FF16"/>
    <w:rsid w:val="7E6B962F"/>
    <w:rsid w:val="7E724924"/>
    <w:rsid w:val="7EF384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25687"/>
  <w14:defaultImageDpi w14:val="96"/>
  <w15:docId w15:val="{73843A2E-2566-4F0D-8288-4FA856A7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styleId="berschrift1">
    <w:name w:val="heading 1"/>
    <w:link w:val="berschrift1Zchn"/>
    <w:uiPriority w:val="99"/>
    <w:qFormat/>
    <w:rsid w:val="78D4D2EA"/>
    <w:pPr>
      <w:keepNext/>
      <w:spacing w:before="238" w:after="62"/>
      <w:outlineLvl w:val="0"/>
    </w:pPr>
    <w:rPr>
      <w:rFonts w:ascii="Helvetica" w:hAnsi="Helvetica" w:cs="Helvetica"/>
      <w:b/>
      <w:bCs/>
      <w:sz w:val="32"/>
      <w:szCs w:val="32"/>
    </w:rPr>
  </w:style>
  <w:style w:type="paragraph" w:styleId="berschrift2">
    <w:name w:val="heading 2"/>
    <w:link w:val="berschrift2Zchn"/>
    <w:uiPriority w:val="99"/>
    <w:qFormat/>
    <w:rsid w:val="78D4D2EA"/>
    <w:pPr>
      <w:keepNext/>
      <w:spacing w:before="238" w:after="62"/>
      <w:outlineLvl w:val="1"/>
    </w:pPr>
    <w:rPr>
      <w:rFonts w:ascii="Helvetica" w:hAnsi="Helvetica" w:cs="Helvetica"/>
      <w:b/>
      <w:bCs/>
      <w:i/>
      <w:iCs/>
      <w:sz w:val="28"/>
      <w:szCs w:val="28"/>
    </w:rPr>
  </w:style>
  <w:style w:type="paragraph" w:styleId="berschrift3">
    <w:name w:val="heading 3"/>
    <w:link w:val="berschrift3Zchn"/>
    <w:uiPriority w:val="99"/>
    <w:qFormat/>
    <w:rsid w:val="78D4D2EA"/>
    <w:pPr>
      <w:keepNext/>
      <w:spacing w:before="238" w:after="62"/>
      <w:outlineLvl w:val="2"/>
    </w:pPr>
    <w:rPr>
      <w:rFonts w:ascii="Helvetica" w:hAnsi="Helvetica" w:cs="Helvetica"/>
      <w:b/>
      <w:bCs/>
      <w:sz w:val="26"/>
      <w:szCs w:val="26"/>
    </w:rPr>
  </w:style>
  <w:style w:type="paragraph" w:styleId="berschrift4">
    <w:name w:val="heading 4"/>
    <w:link w:val="berschrift4Zchn"/>
    <w:uiPriority w:val="99"/>
    <w:qFormat/>
    <w:rsid w:val="78D4D2EA"/>
    <w:pPr>
      <w:keepNext/>
      <w:spacing w:before="238" w:after="62"/>
      <w:outlineLvl w:val="3"/>
    </w:pPr>
    <w:rPr>
      <w:rFonts w:ascii="Times" w:hAnsi="Times" w:cs="Times"/>
      <w:b/>
      <w:bCs/>
      <w:sz w:val="28"/>
      <w:szCs w:val="28"/>
    </w:rPr>
  </w:style>
  <w:style w:type="paragraph" w:styleId="berschrift5">
    <w:name w:val="heading 5"/>
    <w:link w:val="berschrift5Zchn"/>
    <w:uiPriority w:val="99"/>
    <w:qFormat/>
    <w:rsid w:val="78D4D2EA"/>
    <w:pPr>
      <w:spacing w:before="238" w:after="62"/>
      <w:outlineLvl w:val="4"/>
    </w:pPr>
    <w:rPr>
      <w:rFonts w:ascii="Times" w:hAnsi="Times" w:cs="Times"/>
      <w:b/>
      <w:bCs/>
      <w:i/>
      <w:iCs/>
      <w:sz w:val="26"/>
      <w:szCs w:val="26"/>
    </w:rPr>
  </w:style>
  <w:style w:type="paragraph" w:styleId="berschrift6">
    <w:name w:val="heading 6"/>
    <w:link w:val="berschrift6Zchn"/>
    <w:uiPriority w:val="99"/>
    <w:qFormat/>
    <w:rsid w:val="78D4D2EA"/>
    <w:pPr>
      <w:spacing w:before="238" w:after="62"/>
      <w:outlineLvl w:val="5"/>
    </w:pPr>
    <w:rPr>
      <w:rFonts w:ascii="Times" w:hAnsi="Times" w:cs="Times"/>
      <w:b/>
      <w:bCs/>
    </w:rPr>
  </w:style>
  <w:style w:type="paragraph" w:styleId="berschrift7">
    <w:name w:val="heading 7"/>
    <w:link w:val="berschrift7Zchn"/>
    <w:uiPriority w:val="99"/>
    <w:qFormat/>
    <w:rsid w:val="78D4D2EA"/>
    <w:pPr>
      <w:spacing w:before="238" w:after="62"/>
      <w:outlineLvl w:val="6"/>
    </w:pPr>
    <w:rPr>
      <w:rFonts w:ascii="Times" w:hAnsi="Times" w:cs="Times"/>
      <w:sz w:val="24"/>
      <w:szCs w:val="24"/>
    </w:rPr>
  </w:style>
  <w:style w:type="paragraph" w:styleId="berschrift8">
    <w:name w:val="heading 8"/>
    <w:link w:val="berschrift8Zchn"/>
    <w:uiPriority w:val="99"/>
    <w:qFormat/>
    <w:rsid w:val="78D4D2EA"/>
    <w:pPr>
      <w:spacing w:before="238" w:after="62"/>
      <w:outlineLvl w:val="7"/>
    </w:pPr>
    <w:rPr>
      <w:rFonts w:ascii="Times" w:hAnsi="Times" w:cs="Times"/>
      <w:i/>
      <w:iCs/>
      <w:sz w:val="24"/>
      <w:szCs w:val="24"/>
    </w:rPr>
  </w:style>
  <w:style w:type="paragraph" w:styleId="berschrift9">
    <w:name w:val="heading 9"/>
    <w:link w:val="berschrift9Zchn"/>
    <w:uiPriority w:val="99"/>
    <w:qFormat/>
    <w:rsid w:val="78D4D2EA"/>
    <w:pPr>
      <w:spacing w:before="238" w:after="62"/>
      <w:outlineLvl w:val="8"/>
    </w:pPr>
    <w:rPr>
      <w:rFonts w:ascii="Helvetica" w:hAnsi="Helvetica" w:cs="Helvetic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3">
    <w:name w:val="Liste3"/>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paragraph" w:customStyle="1" w:styleId="variante">
    <w:name w:val="variante"/>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Liste2">
    <w:name w:val="Liste2"/>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paragraph" w:customStyle="1" w:styleId="Liste1">
    <w:name w:val="Liste1"/>
    <w:uiPriority w:val="99"/>
    <w:pPr>
      <w:pBdr>
        <w:top w:val="nil"/>
        <w:left w:val="nil"/>
        <w:bottom w:val="nil"/>
        <w:right w:val="nil"/>
      </w:pBdr>
      <w:tabs>
        <w:tab w:val="left" w:pos="0"/>
      </w:tabs>
      <w:autoSpaceDE w:val="0"/>
      <w:autoSpaceDN w:val="0"/>
      <w:adjustRightInd w:val="0"/>
      <w:spacing w:before="120" w:after="120" w:line="240" w:lineRule="auto"/>
      <w:ind w:hanging="284"/>
    </w:pPr>
    <w:rPr>
      <w:rFonts w:ascii="Arial" w:eastAsia="Times New Roman" w:hAnsi="Arial" w:cs="Arial"/>
      <w:color w:val="000000"/>
      <w:sz w:val="20"/>
      <w:szCs w:val="20"/>
      <w:u w:color="000000"/>
    </w:rPr>
  </w:style>
  <w:style w:type="character" w:customStyle="1" w:styleId="berschrift1Zchn">
    <w:name w:val="Überschrift 1 Zchn"/>
    <w:link w:val="berschrift1"/>
    <w:uiPriority w:val="9"/>
    <w:rsid w:val="78D4D2EA"/>
    <w:rPr>
      <w:rFonts w:asciiTheme="majorHAnsi" w:eastAsiaTheme="majorEastAsia" w:hAnsiTheme="majorHAnsi" w:cstheme="majorBidi"/>
      <w:b/>
      <w:bCs/>
      <w:color w:val="000000" w:themeColor="text1"/>
      <w:sz w:val="32"/>
      <w:szCs w:val="32"/>
    </w:rPr>
  </w:style>
  <w:style w:type="character" w:customStyle="1" w:styleId="berschrift2Zchn">
    <w:name w:val="Überschrift 2 Zchn"/>
    <w:link w:val="berschrift2"/>
    <w:uiPriority w:val="9"/>
    <w:semiHidden/>
    <w:rsid w:val="78D4D2EA"/>
    <w:rPr>
      <w:rFonts w:asciiTheme="majorHAnsi" w:eastAsiaTheme="majorEastAsia" w:hAnsiTheme="majorHAnsi" w:cstheme="majorBidi"/>
      <w:b/>
      <w:bCs/>
      <w:i/>
      <w:iCs/>
      <w:color w:val="000000" w:themeColor="text1"/>
      <w:sz w:val="28"/>
      <w:szCs w:val="28"/>
    </w:rPr>
  </w:style>
  <w:style w:type="character" w:customStyle="1" w:styleId="berschrift3Zchn">
    <w:name w:val="Überschrift 3 Zchn"/>
    <w:link w:val="berschrift3"/>
    <w:uiPriority w:val="9"/>
    <w:semiHidden/>
    <w:rsid w:val="78D4D2EA"/>
    <w:rPr>
      <w:rFonts w:asciiTheme="majorHAnsi" w:eastAsiaTheme="majorEastAsia" w:hAnsiTheme="majorHAnsi" w:cstheme="majorBidi"/>
      <w:b/>
      <w:bCs/>
      <w:color w:val="000000" w:themeColor="text1"/>
      <w:sz w:val="26"/>
      <w:szCs w:val="26"/>
    </w:rPr>
  </w:style>
  <w:style w:type="character" w:customStyle="1" w:styleId="berschrift4Zchn">
    <w:name w:val="Überschrift 4 Zchn"/>
    <w:link w:val="berschrift4"/>
    <w:uiPriority w:val="9"/>
    <w:semiHidden/>
    <w:rsid w:val="78D4D2EA"/>
    <w:rPr>
      <w:b/>
      <w:bCs/>
      <w:color w:val="000000" w:themeColor="text1"/>
      <w:sz w:val="28"/>
      <w:szCs w:val="28"/>
    </w:rPr>
  </w:style>
  <w:style w:type="character" w:customStyle="1" w:styleId="berschrift5Zchn">
    <w:name w:val="Überschrift 5 Zchn"/>
    <w:link w:val="berschrift5"/>
    <w:uiPriority w:val="9"/>
    <w:semiHidden/>
    <w:rsid w:val="78D4D2EA"/>
    <w:rPr>
      <w:b/>
      <w:bCs/>
      <w:i/>
      <w:iCs/>
      <w:color w:val="000000" w:themeColor="text1"/>
      <w:sz w:val="26"/>
      <w:szCs w:val="26"/>
    </w:rPr>
  </w:style>
  <w:style w:type="character" w:customStyle="1" w:styleId="berschrift6Zchn">
    <w:name w:val="Überschrift 6 Zchn"/>
    <w:link w:val="berschrift6"/>
    <w:uiPriority w:val="9"/>
    <w:semiHidden/>
    <w:rsid w:val="78D4D2EA"/>
    <w:rPr>
      <w:b/>
      <w:bCs/>
      <w:color w:val="000000" w:themeColor="text1"/>
    </w:rPr>
  </w:style>
  <w:style w:type="character" w:customStyle="1" w:styleId="berschrift7Zchn">
    <w:name w:val="Überschrift 7 Zchn"/>
    <w:link w:val="berschrift7"/>
    <w:uiPriority w:val="9"/>
    <w:semiHidden/>
    <w:rsid w:val="78D4D2EA"/>
    <w:rPr>
      <w:color w:val="000000" w:themeColor="text1"/>
      <w:sz w:val="24"/>
      <w:szCs w:val="24"/>
    </w:rPr>
  </w:style>
  <w:style w:type="character" w:customStyle="1" w:styleId="berschrift8Zchn">
    <w:name w:val="Überschrift 8 Zchn"/>
    <w:link w:val="berschrift8"/>
    <w:uiPriority w:val="9"/>
    <w:semiHidden/>
    <w:rsid w:val="78D4D2EA"/>
    <w:rPr>
      <w:i/>
      <w:iCs/>
      <w:color w:val="000000" w:themeColor="text1"/>
      <w:sz w:val="24"/>
      <w:szCs w:val="24"/>
    </w:rPr>
  </w:style>
  <w:style w:type="character" w:customStyle="1" w:styleId="berschrift9Zchn">
    <w:name w:val="Überschrift 9 Zchn"/>
    <w:link w:val="berschrift9"/>
    <w:uiPriority w:val="9"/>
    <w:semiHidden/>
    <w:rsid w:val="78D4D2EA"/>
    <w:rPr>
      <w:rFonts w:asciiTheme="majorHAnsi" w:eastAsiaTheme="majorEastAsia" w:hAnsiTheme="majorHAnsi" w:cstheme="majorBidi"/>
      <w:color w:val="000000" w:themeColor="text1"/>
    </w:rPr>
  </w:style>
  <w:style w:type="paragraph" w:customStyle="1" w:styleId="antrag">
    <w:name w:val="antrag"/>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beweis">
    <w:name w:val="beweis"/>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customStyle="1" w:styleId="varianteTitel">
    <w:name w:val="variante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zitatTitel">
    <w:name w:val="zitat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wichtigTitel">
    <w:name w:val="wichtigTitel"/>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4"/>
      <w:szCs w:val="24"/>
      <w:u w:color="000000"/>
    </w:rPr>
  </w:style>
  <w:style w:type="paragraph" w:customStyle="1" w:styleId="antragTitel">
    <w:name w:val="antrag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beweisTitel">
    <w:name w:val="beweisTitel"/>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4"/>
      <w:szCs w:val="24"/>
      <w:u w:color="000000"/>
    </w:rPr>
  </w:style>
  <w:style w:type="paragraph" w:customStyle="1" w:styleId="wichtig">
    <w:name w:val="wichtig"/>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sz w:val="20"/>
      <w:szCs w:val="20"/>
      <w:u w:color="000000"/>
    </w:rPr>
  </w:style>
  <w:style w:type="paragraph" w:customStyle="1" w:styleId="checkliste">
    <w:name w:val="checkliste"/>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paragraph" w:styleId="Funotentext">
    <w:name w:val="footnote text"/>
    <w:link w:val="FunotentextZchn"/>
    <w:uiPriority w:val="99"/>
    <w:rsid w:val="78D4D2EA"/>
    <w:rPr>
      <w:sz w:val="24"/>
      <w:szCs w:val="24"/>
    </w:rPr>
  </w:style>
  <w:style w:type="character" w:customStyle="1" w:styleId="FunotentextZchn">
    <w:name w:val="Fußnotentext Zchn"/>
    <w:link w:val="Funotentext"/>
    <w:uiPriority w:val="99"/>
    <w:semiHidden/>
    <w:rsid w:val="78D4D2EA"/>
    <w:rPr>
      <w:rFonts w:ascii="Arial" w:eastAsia="Times New Roman" w:hAnsi="Arial" w:cs="Arial"/>
      <w:color w:val="000000" w:themeColor="text1"/>
      <w:sz w:val="20"/>
      <w:szCs w:val="20"/>
    </w:rPr>
  </w:style>
  <w:style w:type="character" w:customStyle="1" w:styleId="em-kursiv">
    <w:name w:val="em-kursiv"/>
    <w:uiPriority w:val="99"/>
    <w:rPr>
      <w:i/>
      <w:iCs/>
    </w:rPr>
  </w:style>
  <w:style w:type="character" w:styleId="Funotenzeichen">
    <w:name w:val="footnote reference"/>
    <w:uiPriority w:val="99"/>
    <w:rsid w:val="78D4D2EA"/>
    <w:rPr>
      <w:vertAlign w:val="superscript"/>
    </w:rPr>
  </w:style>
  <w:style w:type="paragraph" w:customStyle="1" w:styleId="checklisteTitel">
    <w:name w:val="checklisteTitel"/>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H1">
    <w:name w:val="H1"/>
    <w:next w:val="Standard"/>
    <w:uiPriority w:val="99"/>
    <w:pPr>
      <w:pBdr>
        <w:top w:val="nil"/>
        <w:left w:val="nil"/>
        <w:bottom w:val="nil"/>
        <w:right w:val="nil"/>
      </w:pBdr>
      <w:autoSpaceDE w:val="0"/>
      <w:autoSpaceDN w:val="0"/>
      <w:adjustRightInd w:val="0"/>
      <w:spacing w:before="240" w:after="120" w:line="240" w:lineRule="auto"/>
    </w:pPr>
    <w:rPr>
      <w:rFonts w:ascii="Arial" w:eastAsia="Times New Roman" w:hAnsi="Arial" w:cs="Arial"/>
      <w:b/>
      <w:bCs/>
      <w:color w:val="000000"/>
      <w:sz w:val="24"/>
      <w:szCs w:val="24"/>
      <w:u w:color="000000"/>
    </w:rPr>
  </w:style>
  <w:style w:type="paragraph" w:customStyle="1" w:styleId="H2">
    <w:name w:val="H2"/>
    <w:next w:val="Standard"/>
    <w:uiPriority w:val="99"/>
    <w:pPr>
      <w:pBdr>
        <w:top w:val="nil"/>
        <w:left w:val="nil"/>
        <w:bottom w:val="nil"/>
        <w:right w:val="nil"/>
      </w:pBdr>
      <w:autoSpaceDE w:val="0"/>
      <w:autoSpaceDN w:val="0"/>
      <w:adjustRightInd w:val="0"/>
      <w:spacing w:before="180" w:after="120" w:line="240" w:lineRule="auto"/>
    </w:pPr>
    <w:rPr>
      <w:rFonts w:ascii="Arial" w:eastAsia="Times New Roman" w:hAnsi="Arial" w:cs="Arial"/>
      <w:b/>
      <w:bCs/>
      <w:color w:val="000000"/>
      <w:u w:color="000000"/>
    </w:rPr>
  </w:style>
  <w:style w:type="paragraph" w:customStyle="1" w:styleId="H3">
    <w:name w:val="H3"/>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4">
    <w:name w:val="H4"/>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5">
    <w:name w:val="H5"/>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H6">
    <w:name w:val="H6"/>
    <w:next w:val="Standard"/>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b/>
      <w:bCs/>
      <w:color w:val="000000"/>
      <w:u w:color="000000"/>
    </w:rPr>
  </w:style>
  <w:style w:type="paragraph" w:customStyle="1" w:styleId="zitat">
    <w:name w:val="zitat"/>
    <w:uiPriority w:val="99"/>
    <w:pPr>
      <w:pBdr>
        <w:top w:val="nil"/>
        <w:left w:val="nil"/>
        <w:bottom w:val="nil"/>
        <w:right w:val="nil"/>
      </w:pBdr>
      <w:autoSpaceDE w:val="0"/>
      <w:autoSpaceDN w:val="0"/>
      <w:adjustRightInd w:val="0"/>
      <w:spacing w:before="120" w:after="120" w:line="240" w:lineRule="auto"/>
    </w:pPr>
    <w:rPr>
      <w:rFonts w:ascii="Arial" w:eastAsia="Times New Roman" w:hAnsi="Arial" w:cs="Arial"/>
      <w:color w:val="000000"/>
      <w:sz w:val="20"/>
      <w:szCs w:val="20"/>
      <w:u w:color="000000"/>
    </w:rPr>
  </w:style>
  <w:style w:type="character" w:customStyle="1" w:styleId="em-fett">
    <w:name w:val="em-fett"/>
    <w:uiPriority w:val="99"/>
    <w:rPr>
      <w:b/>
      <w:bCs/>
    </w:rPr>
  </w:style>
  <w:style w:type="paragraph" w:styleId="Listenabsatz">
    <w:name w:val="List Paragraph"/>
    <w:uiPriority w:val="34"/>
    <w:qFormat/>
    <w:rsid w:val="78D4D2EA"/>
    <w:pPr>
      <w:ind w:left="720"/>
      <w:contextualSpacing/>
    </w:pPr>
  </w:style>
  <w:style w:type="character" w:styleId="Hyperlink">
    <w:name w:val="Hyperlink"/>
    <w:uiPriority w:val="99"/>
    <w:unhideWhenUsed/>
    <w:rsid w:val="78D4D2EA"/>
    <w:rPr>
      <w:color w:val="0563C1"/>
      <w:u w:val="single"/>
    </w:rPr>
  </w:style>
  <w:style w:type="paragraph" w:styleId="Kommentartext">
    <w:name w:val="annotation text"/>
    <w:basedOn w:val="Standard"/>
    <w:link w:val="KommentartextZchn"/>
    <w:uiPriority w:val="99"/>
    <w:unhideWhenUsed/>
  </w:style>
  <w:style w:type="character" w:customStyle="1" w:styleId="KommentartextZchn">
    <w:name w:val="Kommentartext Zchn"/>
    <w:basedOn w:val="Absatz-Standardschriftart"/>
    <w:link w:val="Kommentartext"/>
    <w:uiPriority w:val="99"/>
    <w:rPr>
      <w:rFonts w:ascii="Arial" w:eastAsia="Times New Roman" w:hAnsi="Arial" w:cs="Arial"/>
      <w:color w:val="000000"/>
      <w:sz w:val="20"/>
      <w:szCs w:val="20"/>
      <w:u w:color="000000"/>
    </w:rPr>
  </w:style>
  <w:style w:type="character" w:styleId="Kommentarzeichen">
    <w:name w:val="annotation reference"/>
    <w:basedOn w:val="Absatz-Standardschriftart"/>
    <w:uiPriority w:val="99"/>
    <w:semiHidden/>
    <w:unhideWhenUsed/>
    <w:rPr>
      <w:sz w:val="16"/>
      <w:szCs w:val="16"/>
    </w:rPr>
  </w:style>
  <w:style w:type="table" w:styleId="Tabellenraster">
    <w:name w:val="Table Grid"/>
    <w:basedOn w:val="NormaleTabelle"/>
    <w:uiPriority w:val="59"/>
    <w:rsid w:val="009A24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5D1C27"/>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075444"/>
    <w:rPr>
      <w:b/>
      <w:bCs/>
    </w:rPr>
  </w:style>
  <w:style w:type="character" w:customStyle="1" w:styleId="KommentarthemaZchn">
    <w:name w:val="Kommentarthema Zchn"/>
    <w:basedOn w:val="KommentartextZchn"/>
    <w:link w:val="Kommentarthema"/>
    <w:uiPriority w:val="99"/>
    <w:semiHidden/>
    <w:rsid w:val="00075444"/>
    <w:rPr>
      <w:rFonts w:ascii="Arial" w:eastAsia="Times New Roman" w:hAnsi="Arial" w:cs="Arial"/>
      <w:b/>
      <w:bCs/>
      <w:color w:val="000000"/>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4477</Words>
  <Characters>28210</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C.H. Beck</Company>
  <LinksUpToDate>false</LinksUpToDate>
  <CharactersWithSpaces>32622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 Beck</dc:creator>
  <cp:keywords/>
  <dc:description/>
  <cp:lastModifiedBy>Yannic Manski</cp:lastModifiedBy>
  <cp:revision>9</cp:revision>
  <dcterms:created xsi:type="dcterms:W3CDTF">2026-06-11T15:06:00Z</dcterms:created>
  <dcterms:modified xsi:type="dcterms:W3CDTF">2026-06-15T08:09:00Z</dcterms:modified>
</cp:coreProperties>
</file>